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DD6" w:rsidRPr="00BF2B91" w:rsidRDefault="009C2DD6" w:rsidP="0040507E">
      <w:pPr>
        <w:spacing w:before="100" w:beforeAutospacing="1" w:line="276" w:lineRule="auto"/>
        <w:jc w:val="both"/>
        <w:rPr>
          <w:rFonts w:asciiTheme="majorHAnsi" w:hAnsiTheme="majorHAnsi" w:cstheme="majorHAnsi"/>
          <w:color w:val="222222"/>
          <w:shd w:val="clear" w:color="auto" w:fill="FFFFFF"/>
          <w:lang w:val="es-AR" w:eastAsia="es-VE"/>
        </w:rPr>
      </w:pPr>
      <w:bookmarkStart w:id="0" w:name="_GoBack"/>
      <w:bookmarkEnd w:id="0"/>
      <w:r w:rsidRPr="00BF2B91">
        <w:rPr>
          <w:rFonts w:asciiTheme="majorHAnsi" w:hAnsiTheme="majorHAnsi" w:cstheme="majorHAnsi"/>
          <w:noProof/>
          <w:lang w:val="es-VE" w:eastAsia="es-VE"/>
        </w:rPr>
        <w:drawing>
          <wp:anchor distT="0" distB="0" distL="114300" distR="114300" simplePos="0" relativeHeight="251658752" behindDoc="0" locked="0" layoutInCell="1" allowOverlap="1">
            <wp:simplePos x="0" y="0"/>
            <wp:positionH relativeFrom="margin">
              <wp:posOffset>-337185</wp:posOffset>
            </wp:positionH>
            <wp:positionV relativeFrom="margin">
              <wp:posOffset>5080</wp:posOffset>
            </wp:positionV>
            <wp:extent cx="1751965" cy="101409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1965" cy="1014095"/>
                    </a:xfrm>
                    <a:prstGeom prst="rect">
                      <a:avLst/>
                    </a:prstGeom>
                    <a:noFill/>
                    <a:ln>
                      <a:noFill/>
                    </a:ln>
                  </pic:spPr>
                </pic:pic>
              </a:graphicData>
            </a:graphic>
          </wp:anchor>
        </w:drawing>
      </w:r>
    </w:p>
    <w:p w:rsidR="00477A98" w:rsidRPr="00BF2B91" w:rsidRDefault="00477A98" w:rsidP="0040507E">
      <w:pPr>
        <w:spacing w:before="100" w:beforeAutospacing="1" w:line="276" w:lineRule="auto"/>
        <w:ind w:left="5040"/>
        <w:jc w:val="right"/>
        <w:rPr>
          <w:rFonts w:asciiTheme="majorHAnsi" w:eastAsia="Calibri" w:hAnsiTheme="majorHAnsi" w:cstheme="majorHAnsi"/>
          <w:lang w:val="es-VE" w:eastAsia="en-US"/>
        </w:rPr>
      </w:pPr>
      <w:r w:rsidRPr="00BF2B91">
        <w:rPr>
          <w:rFonts w:asciiTheme="majorHAnsi" w:eastAsia="Calibri" w:hAnsiTheme="majorHAnsi" w:cstheme="majorHAnsi"/>
          <w:lang w:val="es-VE" w:eastAsia="en-US"/>
        </w:rPr>
        <w:t>Caracas</w:t>
      </w:r>
      <w:r w:rsidR="008C76AA" w:rsidRPr="00BF2B91">
        <w:rPr>
          <w:rFonts w:asciiTheme="majorHAnsi" w:eastAsia="Calibri" w:hAnsiTheme="majorHAnsi" w:cstheme="majorHAnsi"/>
          <w:lang w:val="es-VE" w:eastAsia="en-US"/>
        </w:rPr>
        <w:t>,</w:t>
      </w:r>
      <w:r w:rsidRPr="00BF2B91">
        <w:rPr>
          <w:rFonts w:asciiTheme="majorHAnsi" w:eastAsia="Calibri" w:hAnsiTheme="majorHAnsi" w:cstheme="majorHAnsi"/>
          <w:lang w:val="es-VE" w:eastAsia="en-US"/>
        </w:rPr>
        <w:t xml:space="preserve">  </w:t>
      </w:r>
      <w:r w:rsidR="00CC33B9" w:rsidRPr="00BF2B91">
        <w:rPr>
          <w:rFonts w:asciiTheme="majorHAnsi" w:eastAsia="Calibri" w:hAnsiTheme="majorHAnsi" w:cstheme="majorHAnsi"/>
          <w:lang w:val="es-VE" w:eastAsia="en-US"/>
        </w:rPr>
        <w:t>26 de Marzo de 2019</w:t>
      </w:r>
    </w:p>
    <w:p w:rsidR="00503755" w:rsidRPr="00BF2B91" w:rsidRDefault="00503755" w:rsidP="0040507E">
      <w:pPr>
        <w:spacing w:before="100" w:beforeAutospacing="1" w:line="276" w:lineRule="auto"/>
        <w:jc w:val="both"/>
        <w:rPr>
          <w:rFonts w:asciiTheme="majorHAnsi" w:hAnsiTheme="majorHAnsi" w:cstheme="majorHAnsi"/>
          <w:b/>
          <w:color w:val="222222"/>
          <w:shd w:val="clear" w:color="auto" w:fill="FFFFFF"/>
          <w:lang w:eastAsia="es-VE"/>
        </w:rPr>
      </w:pPr>
    </w:p>
    <w:p w:rsidR="00E97928" w:rsidRPr="00BF2B91" w:rsidRDefault="00E97928" w:rsidP="00E97928">
      <w:pPr>
        <w:pStyle w:val="Listaconvietas"/>
        <w:numPr>
          <w:ilvl w:val="0"/>
          <w:numId w:val="0"/>
        </w:numPr>
        <w:tabs>
          <w:tab w:val="left" w:pos="1418"/>
        </w:tabs>
        <w:spacing w:line="276" w:lineRule="auto"/>
        <w:jc w:val="both"/>
        <w:rPr>
          <w:rFonts w:asciiTheme="majorHAnsi" w:hAnsiTheme="majorHAnsi" w:cstheme="majorHAnsi"/>
          <w:b/>
        </w:rPr>
      </w:pPr>
    </w:p>
    <w:p w:rsidR="00957461" w:rsidRPr="00BF2B91" w:rsidRDefault="000C0883" w:rsidP="00E97928">
      <w:pPr>
        <w:pStyle w:val="Listaconvietas"/>
        <w:numPr>
          <w:ilvl w:val="0"/>
          <w:numId w:val="0"/>
        </w:numPr>
        <w:tabs>
          <w:tab w:val="left" w:pos="1418"/>
        </w:tabs>
        <w:spacing w:line="276" w:lineRule="auto"/>
        <w:jc w:val="center"/>
        <w:rPr>
          <w:rFonts w:asciiTheme="majorHAnsi" w:hAnsiTheme="majorHAnsi" w:cstheme="majorHAnsi"/>
          <w:b/>
        </w:rPr>
      </w:pPr>
      <w:r w:rsidRPr="00BF2B91">
        <w:rPr>
          <w:rFonts w:asciiTheme="majorHAnsi" w:hAnsiTheme="majorHAnsi" w:cstheme="majorHAnsi"/>
          <w:b/>
        </w:rPr>
        <w:t>INFORME DE INVERSIONES CRECEP</w:t>
      </w:r>
      <w:r w:rsidR="00957461" w:rsidRPr="00BF2B91">
        <w:rPr>
          <w:rFonts w:asciiTheme="majorHAnsi" w:hAnsiTheme="majorHAnsi" w:cstheme="majorHAnsi"/>
          <w:b/>
        </w:rPr>
        <w:t>YMES, C.A.</w:t>
      </w:r>
      <w:r w:rsidR="00E97928" w:rsidRPr="00BF2B91">
        <w:rPr>
          <w:rFonts w:asciiTheme="majorHAnsi" w:hAnsiTheme="majorHAnsi" w:cstheme="majorHAnsi"/>
          <w:b/>
        </w:rPr>
        <w:t xml:space="preserve"> A LOS ACCIONISTAS – GESTIÓN 201</w:t>
      </w:r>
      <w:r w:rsidR="00CC33B9" w:rsidRPr="00BF2B91">
        <w:rPr>
          <w:rFonts w:asciiTheme="majorHAnsi" w:hAnsiTheme="majorHAnsi" w:cstheme="majorHAnsi"/>
          <w:b/>
        </w:rPr>
        <w:t>8</w:t>
      </w:r>
    </w:p>
    <w:p w:rsidR="00957461" w:rsidRPr="00BF2B91" w:rsidRDefault="00957461" w:rsidP="00E97928">
      <w:pPr>
        <w:pStyle w:val="Listaconvietas"/>
        <w:numPr>
          <w:ilvl w:val="0"/>
          <w:numId w:val="0"/>
        </w:numPr>
        <w:tabs>
          <w:tab w:val="left" w:pos="708"/>
        </w:tabs>
        <w:spacing w:line="276" w:lineRule="auto"/>
        <w:jc w:val="center"/>
        <w:rPr>
          <w:rFonts w:asciiTheme="majorHAnsi" w:hAnsiTheme="majorHAnsi" w:cstheme="majorHAnsi"/>
          <w:b/>
        </w:rPr>
      </w:pPr>
    </w:p>
    <w:p w:rsidR="000C0883" w:rsidRPr="00BF2B91" w:rsidRDefault="000C0883" w:rsidP="0040507E">
      <w:pPr>
        <w:pStyle w:val="Listaconvietas"/>
        <w:numPr>
          <w:ilvl w:val="0"/>
          <w:numId w:val="0"/>
        </w:numPr>
        <w:tabs>
          <w:tab w:val="left" w:pos="708"/>
        </w:tabs>
        <w:spacing w:line="276" w:lineRule="auto"/>
        <w:jc w:val="both"/>
        <w:rPr>
          <w:rFonts w:asciiTheme="majorHAnsi" w:hAnsiTheme="majorHAnsi" w:cstheme="majorHAnsi"/>
        </w:rPr>
      </w:pPr>
      <w:r w:rsidRPr="00BF2B91">
        <w:rPr>
          <w:rFonts w:asciiTheme="majorHAnsi" w:hAnsiTheme="majorHAnsi" w:cstheme="majorHAnsi"/>
        </w:rPr>
        <w:t>A continuación, se presentan los puntos a tratar</w:t>
      </w:r>
      <w:r w:rsidR="001D52F7" w:rsidRPr="00BF2B91">
        <w:rPr>
          <w:rFonts w:asciiTheme="majorHAnsi" w:hAnsiTheme="majorHAnsi" w:cstheme="majorHAnsi"/>
        </w:rPr>
        <w:t xml:space="preserve"> con el fin de conocer la </w:t>
      </w:r>
      <w:r w:rsidR="00B566D8" w:rsidRPr="00BF2B91">
        <w:rPr>
          <w:rFonts w:asciiTheme="majorHAnsi" w:hAnsiTheme="majorHAnsi" w:cstheme="majorHAnsi"/>
        </w:rPr>
        <w:t>g</w:t>
      </w:r>
      <w:r w:rsidRPr="00BF2B91">
        <w:rPr>
          <w:rFonts w:asciiTheme="majorHAnsi" w:hAnsiTheme="majorHAnsi" w:cstheme="majorHAnsi"/>
        </w:rPr>
        <w:t xml:space="preserve">estión para el </w:t>
      </w:r>
      <w:r w:rsidR="001D52F7" w:rsidRPr="00BF2B91">
        <w:rPr>
          <w:rFonts w:asciiTheme="majorHAnsi" w:hAnsiTheme="majorHAnsi" w:cstheme="majorHAnsi"/>
        </w:rPr>
        <w:t xml:space="preserve">período </w:t>
      </w:r>
      <w:r w:rsidRPr="00BF2B91">
        <w:rPr>
          <w:rFonts w:asciiTheme="majorHAnsi" w:hAnsiTheme="majorHAnsi" w:cstheme="majorHAnsi"/>
        </w:rPr>
        <w:t>201</w:t>
      </w:r>
      <w:r w:rsidR="00CC33B9" w:rsidRPr="00BF2B91">
        <w:rPr>
          <w:rFonts w:asciiTheme="majorHAnsi" w:hAnsiTheme="majorHAnsi" w:cstheme="majorHAnsi"/>
        </w:rPr>
        <w:t>8</w:t>
      </w:r>
      <w:r w:rsidRPr="00BF2B91">
        <w:rPr>
          <w:rFonts w:asciiTheme="majorHAnsi" w:hAnsiTheme="majorHAnsi" w:cstheme="majorHAnsi"/>
        </w:rPr>
        <w:t>, a saber:</w:t>
      </w:r>
    </w:p>
    <w:p w:rsidR="001D52F7" w:rsidRPr="00BF2B91" w:rsidRDefault="001D52F7" w:rsidP="0040507E">
      <w:pPr>
        <w:pStyle w:val="Listaconvietas"/>
        <w:numPr>
          <w:ilvl w:val="0"/>
          <w:numId w:val="12"/>
        </w:numPr>
        <w:tabs>
          <w:tab w:val="left" w:pos="708"/>
        </w:tabs>
        <w:spacing w:line="276" w:lineRule="auto"/>
        <w:jc w:val="both"/>
        <w:rPr>
          <w:rFonts w:asciiTheme="majorHAnsi" w:hAnsiTheme="majorHAnsi" w:cstheme="majorHAnsi"/>
        </w:rPr>
      </w:pPr>
      <w:r w:rsidRPr="00BF2B91">
        <w:rPr>
          <w:rFonts w:asciiTheme="majorHAnsi" w:hAnsiTheme="majorHAnsi" w:cstheme="majorHAnsi"/>
        </w:rPr>
        <w:t>Comité de negocios</w:t>
      </w:r>
      <w:r w:rsidR="00CC33B9" w:rsidRPr="00BF2B91">
        <w:rPr>
          <w:rFonts w:asciiTheme="majorHAnsi" w:hAnsiTheme="majorHAnsi" w:cstheme="majorHAnsi"/>
        </w:rPr>
        <w:t xml:space="preserve"> / Proyectos potenciales</w:t>
      </w:r>
    </w:p>
    <w:p w:rsidR="00CC33B9" w:rsidRPr="00BF2B91" w:rsidRDefault="00CC33B9" w:rsidP="00CC33B9">
      <w:pPr>
        <w:pStyle w:val="Listaconvietas"/>
        <w:numPr>
          <w:ilvl w:val="0"/>
          <w:numId w:val="12"/>
        </w:numPr>
        <w:tabs>
          <w:tab w:val="left" w:pos="708"/>
        </w:tabs>
        <w:spacing w:line="276" w:lineRule="auto"/>
        <w:jc w:val="both"/>
        <w:rPr>
          <w:rFonts w:asciiTheme="majorHAnsi" w:hAnsiTheme="majorHAnsi" w:cstheme="majorHAnsi"/>
        </w:rPr>
      </w:pPr>
      <w:r w:rsidRPr="00BF2B91">
        <w:rPr>
          <w:rFonts w:asciiTheme="majorHAnsi" w:hAnsiTheme="majorHAnsi" w:cstheme="majorHAnsi"/>
          <w:color w:val="222222"/>
          <w:shd w:val="clear" w:color="auto" w:fill="FFFFFF"/>
          <w:lang w:eastAsia="es-VE"/>
        </w:rPr>
        <w:t>Informe de gestión del año 2018 de Farmacia y Perfumería San Luis Gonzaga (en lo adelante “Auximed”)</w:t>
      </w:r>
    </w:p>
    <w:p w:rsidR="001D52F7" w:rsidRPr="00BF2B91" w:rsidRDefault="001D52F7" w:rsidP="0040507E">
      <w:pPr>
        <w:pStyle w:val="Listaconvietas"/>
        <w:numPr>
          <w:ilvl w:val="0"/>
          <w:numId w:val="12"/>
        </w:numPr>
        <w:tabs>
          <w:tab w:val="left" w:pos="708"/>
        </w:tabs>
        <w:spacing w:line="276" w:lineRule="auto"/>
        <w:jc w:val="both"/>
        <w:rPr>
          <w:rFonts w:asciiTheme="majorHAnsi" w:hAnsiTheme="majorHAnsi" w:cstheme="majorHAnsi"/>
        </w:rPr>
      </w:pPr>
      <w:r w:rsidRPr="00BF2B91">
        <w:rPr>
          <w:rFonts w:asciiTheme="majorHAnsi" w:hAnsiTheme="majorHAnsi" w:cstheme="majorHAnsi"/>
        </w:rPr>
        <w:t>Situación financiera</w:t>
      </w:r>
      <w:r w:rsidR="00CC33B9" w:rsidRPr="00BF2B91">
        <w:rPr>
          <w:rFonts w:asciiTheme="majorHAnsi" w:hAnsiTheme="majorHAnsi" w:cstheme="majorHAnsi"/>
        </w:rPr>
        <w:t xml:space="preserve"> INVERSIONES CRECEPYMES, C.A.</w:t>
      </w:r>
    </w:p>
    <w:p w:rsidR="00F6233B" w:rsidRPr="00BF2B91" w:rsidRDefault="001D52F7" w:rsidP="0040507E">
      <w:pPr>
        <w:pStyle w:val="Prrafodelista"/>
        <w:ind w:left="0"/>
        <w:jc w:val="both"/>
        <w:rPr>
          <w:rFonts w:asciiTheme="majorHAnsi" w:hAnsiTheme="majorHAnsi" w:cstheme="majorHAnsi"/>
          <w:sz w:val="24"/>
          <w:szCs w:val="24"/>
        </w:rPr>
      </w:pPr>
      <w:r w:rsidRPr="00BF2B91">
        <w:rPr>
          <w:rFonts w:asciiTheme="majorHAnsi" w:hAnsiTheme="majorHAnsi" w:cstheme="majorHAnsi"/>
          <w:sz w:val="24"/>
          <w:szCs w:val="24"/>
        </w:rPr>
        <w:t>_____________________________________________</w:t>
      </w:r>
    </w:p>
    <w:p w:rsidR="00477A98" w:rsidRDefault="00B10B3C" w:rsidP="00B10B3C">
      <w:pPr>
        <w:spacing w:before="100" w:beforeAutospacing="1"/>
        <w:ind w:firstLine="720"/>
        <w:jc w:val="both"/>
        <w:rPr>
          <w:rFonts w:asciiTheme="majorHAnsi" w:hAnsiTheme="majorHAnsi" w:cstheme="majorHAnsi"/>
          <w:b/>
        </w:rPr>
      </w:pPr>
      <w:r>
        <w:rPr>
          <w:rFonts w:asciiTheme="majorHAnsi" w:hAnsiTheme="majorHAnsi" w:cstheme="majorHAnsi"/>
          <w:b/>
        </w:rPr>
        <w:t xml:space="preserve">1.- </w:t>
      </w:r>
      <w:r w:rsidR="00957461" w:rsidRPr="00B10B3C">
        <w:rPr>
          <w:rFonts w:asciiTheme="majorHAnsi" w:hAnsiTheme="majorHAnsi" w:cstheme="majorHAnsi"/>
          <w:b/>
        </w:rPr>
        <w:t>Comité de negocios</w:t>
      </w:r>
      <w:r w:rsidR="00477A98" w:rsidRPr="00B10B3C">
        <w:rPr>
          <w:rFonts w:asciiTheme="majorHAnsi" w:hAnsiTheme="majorHAnsi" w:cstheme="majorHAnsi"/>
          <w:b/>
        </w:rPr>
        <w:t>:</w:t>
      </w:r>
    </w:p>
    <w:p w:rsidR="00CC33B9" w:rsidRPr="00BF2B91" w:rsidRDefault="00CC33B9" w:rsidP="00CC33B9">
      <w:pPr>
        <w:spacing w:line="276" w:lineRule="auto"/>
        <w:jc w:val="both"/>
        <w:rPr>
          <w:rFonts w:asciiTheme="majorHAnsi" w:hAnsiTheme="majorHAnsi" w:cstheme="majorHAnsi"/>
          <w:lang w:val="es-VE"/>
        </w:rPr>
      </w:pPr>
      <w:r w:rsidRPr="00BF2B91">
        <w:rPr>
          <w:rFonts w:asciiTheme="majorHAnsi" w:hAnsiTheme="majorHAnsi" w:cstheme="majorHAnsi"/>
          <w:lang w:val="es-VE"/>
        </w:rPr>
        <w:t>Antes de mencionar las actividades en las cuales se concentró nuestro trabajo durante el año 2018, vale acotar algunas consideraciones que caracterizaron el entorno macroeconómico nacional.</w:t>
      </w:r>
    </w:p>
    <w:p w:rsidR="00CC33B9" w:rsidRPr="00BF2B91" w:rsidRDefault="00CC33B9" w:rsidP="00CC33B9">
      <w:pPr>
        <w:spacing w:line="276" w:lineRule="auto"/>
        <w:jc w:val="both"/>
        <w:rPr>
          <w:rFonts w:asciiTheme="majorHAnsi" w:hAnsiTheme="majorHAnsi" w:cstheme="majorHAnsi"/>
          <w:lang w:val="es-VE"/>
        </w:rPr>
      </w:pPr>
      <w:r w:rsidRPr="00BF2B91">
        <w:rPr>
          <w:rFonts w:asciiTheme="majorHAnsi" w:hAnsiTheme="majorHAnsi" w:cstheme="majorHAnsi"/>
          <w:bCs/>
          <w:lang w:val="es-VE"/>
        </w:rPr>
        <w:t>A lo largo del año 2018 se presentaron algunas circunstancias en el ámbito económico, que a su vez impactaron en el área social, a saber:</w:t>
      </w:r>
    </w:p>
    <w:p w:rsidR="00CC33B9" w:rsidRPr="00BF2B91" w:rsidRDefault="00CC33B9" w:rsidP="00CC33B9">
      <w:pPr>
        <w:spacing w:line="276" w:lineRule="auto"/>
        <w:jc w:val="both"/>
        <w:rPr>
          <w:rFonts w:asciiTheme="majorHAnsi" w:hAnsiTheme="majorHAnsi" w:cstheme="majorHAnsi"/>
          <w:lang w:val="es-VE"/>
        </w:rPr>
      </w:pPr>
      <w:r w:rsidRPr="00BF2B91">
        <w:rPr>
          <w:rFonts w:asciiTheme="majorHAnsi" w:hAnsiTheme="majorHAnsi" w:cstheme="majorHAnsi"/>
          <w:lang w:val="es-VE"/>
        </w:rPr>
        <w:t>.- Reconversión Monetaria: situación que se dio a partir del pasado 20 de agosto, en la cual se le restaron cinco (5) ceros a nuestra moneda, con el subsiguiente impacto en todas las actividades y sectores económicos</w:t>
      </w:r>
    </w:p>
    <w:p w:rsidR="00CC33B9" w:rsidRPr="00BF2B91" w:rsidRDefault="00CC33B9" w:rsidP="00CC33B9">
      <w:pPr>
        <w:spacing w:line="276" w:lineRule="auto"/>
        <w:jc w:val="both"/>
        <w:rPr>
          <w:rFonts w:asciiTheme="majorHAnsi" w:hAnsiTheme="majorHAnsi" w:cstheme="majorHAnsi"/>
          <w:lang w:val="es-VE"/>
        </w:rPr>
      </w:pPr>
      <w:r w:rsidRPr="00BF2B91">
        <w:rPr>
          <w:rFonts w:asciiTheme="majorHAnsi" w:hAnsiTheme="majorHAnsi" w:cstheme="majorHAnsi"/>
          <w:lang w:val="es-VE"/>
        </w:rPr>
        <w:t>.- Contracción del PIB (aprox. -20% en 2018): producto de la disminución en las diversas actividades productivas, en particular aquellas que requieren de insumos importados, afectadas por el control cambiario aún vigente.</w:t>
      </w:r>
    </w:p>
    <w:p w:rsidR="00CC33B9" w:rsidRPr="00BF2B91" w:rsidRDefault="00CC33B9" w:rsidP="00CC33B9">
      <w:pPr>
        <w:spacing w:line="276" w:lineRule="auto"/>
        <w:jc w:val="both"/>
        <w:rPr>
          <w:rFonts w:asciiTheme="majorHAnsi" w:hAnsiTheme="majorHAnsi" w:cstheme="majorHAnsi"/>
          <w:lang w:val="es-VE"/>
        </w:rPr>
      </w:pPr>
      <w:r w:rsidRPr="00BF2B91">
        <w:rPr>
          <w:rFonts w:asciiTheme="majorHAnsi" w:hAnsiTheme="majorHAnsi" w:cstheme="majorHAnsi"/>
          <w:lang w:val="es-VE"/>
        </w:rPr>
        <w:t xml:space="preserve">.- Devaluación del tipo de cambio: el cual tuvo una variación desde BsF 100.000 (Bs.S 1,00) al inicio del año hasta aprox Bs.S </w:t>
      </w:r>
      <w:r w:rsidR="003C3519" w:rsidRPr="00BF2B91">
        <w:rPr>
          <w:rFonts w:asciiTheme="majorHAnsi" w:hAnsiTheme="majorHAnsi" w:cstheme="majorHAnsi"/>
          <w:lang w:val="es-VE"/>
        </w:rPr>
        <w:t>680 (tasa DICOM) y Bs.S 2.500 (tasa en el mercado paralelo).</w:t>
      </w:r>
    </w:p>
    <w:p w:rsidR="00CC33B9" w:rsidRPr="00BF2B91" w:rsidRDefault="00CC33B9" w:rsidP="00CC33B9">
      <w:pPr>
        <w:spacing w:line="276" w:lineRule="auto"/>
        <w:jc w:val="both"/>
        <w:rPr>
          <w:rFonts w:asciiTheme="majorHAnsi" w:hAnsiTheme="majorHAnsi" w:cstheme="majorHAnsi"/>
          <w:lang w:val="es-VE"/>
        </w:rPr>
      </w:pPr>
      <w:r w:rsidRPr="00BF2B91">
        <w:rPr>
          <w:rFonts w:asciiTheme="majorHAnsi" w:hAnsiTheme="majorHAnsi" w:cstheme="majorHAnsi"/>
          <w:lang w:val="es-VE"/>
        </w:rPr>
        <w:t>.- Aumentos salariales</w:t>
      </w:r>
      <w:r w:rsidR="003C3519" w:rsidRPr="00BF2B91">
        <w:rPr>
          <w:rFonts w:asciiTheme="majorHAnsi" w:hAnsiTheme="majorHAnsi" w:cstheme="majorHAnsi"/>
          <w:lang w:val="es-VE"/>
        </w:rPr>
        <w:t>: los cuales se dieron en los meses de mayo, septiembre y diciembre 2018, siendo el de mayor impacto el ajuste de casi 6.000% que se dio en el marco de la reconversión monetaria y que impactó brutalmente en la estructura de costos del sector industrial.</w:t>
      </w:r>
    </w:p>
    <w:p w:rsidR="00CC33B9" w:rsidRPr="00BF2B91" w:rsidRDefault="00CC33B9" w:rsidP="00CC33B9">
      <w:pPr>
        <w:spacing w:line="276" w:lineRule="auto"/>
        <w:jc w:val="both"/>
        <w:rPr>
          <w:rFonts w:asciiTheme="majorHAnsi" w:hAnsiTheme="majorHAnsi" w:cstheme="majorHAnsi"/>
          <w:lang w:val="es-VE"/>
        </w:rPr>
      </w:pPr>
      <w:r w:rsidRPr="00BF2B91">
        <w:rPr>
          <w:rFonts w:asciiTheme="majorHAnsi" w:hAnsiTheme="majorHAnsi" w:cstheme="majorHAnsi"/>
          <w:lang w:val="es-VE"/>
        </w:rPr>
        <w:t>.- Hiperinflación</w:t>
      </w:r>
      <w:r w:rsidR="003C3519" w:rsidRPr="00BF2B91">
        <w:rPr>
          <w:rFonts w:asciiTheme="majorHAnsi" w:hAnsiTheme="majorHAnsi" w:cstheme="majorHAnsi"/>
          <w:lang w:val="es-VE"/>
        </w:rPr>
        <w:t>: siendo la primera vez que nuestro país se enfrenta a un aumento tan acelerado de los precios, lo que obliga a una constante revisión y ajuste para poder mantener una actividad económica en el mercado de bienes y servicios.</w:t>
      </w:r>
    </w:p>
    <w:p w:rsidR="00CC33B9" w:rsidRPr="00BF2B91" w:rsidRDefault="00CC33B9" w:rsidP="00CC33B9">
      <w:pPr>
        <w:spacing w:line="276" w:lineRule="auto"/>
        <w:jc w:val="both"/>
        <w:rPr>
          <w:rFonts w:asciiTheme="majorHAnsi" w:hAnsiTheme="majorHAnsi" w:cstheme="majorHAnsi"/>
          <w:lang w:val="es-VE"/>
        </w:rPr>
      </w:pPr>
      <w:r w:rsidRPr="00BF2B91">
        <w:rPr>
          <w:rFonts w:asciiTheme="majorHAnsi" w:hAnsiTheme="majorHAnsi" w:cstheme="majorHAnsi"/>
          <w:lang w:val="es-VE"/>
        </w:rPr>
        <w:lastRenderedPageBreak/>
        <w:t>.- Aumento en el % del encaje legal en la banca</w:t>
      </w:r>
      <w:r w:rsidR="0063613A" w:rsidRPr="00BF2B91">
        <w:rPr>
          <w:rFonts w:asciiTheme="majorHAnsi" w:hAnsiTheme="majorHAnsi" w:cstheme="majorHAnsi"/>
          <w:lang w:val="es-VE"/>
        </w:rPr>
        <w:t>: con el consiguiente impacto sobre las solicitudes de crédito que las empresas pueden ejecutar a través de la banca nacional para poder financiar parte de sus operaciones.</w:t>
      </w:r>
    </w:p>
    <w:p w:rsidR="0063613A" w:rsidRPr="00BF2B91" w:rsidRDefault="00CC33B9" w:rsidP="00CC33B9">
      <w:pPr>
        <w:spacing w:line="276" w:lineRule="auto"/>
        <w:jc w:val="both"/>
        <w:rPr>
          <w:rFonts w:asciiTheme="majorHAnsi" w:hAnsiTheme="majorHAnsi" w:cstheme="majorHAnsi"/>
          <w:lang w:val="es-VE"/>
        </w:rPr>
      </w:pPr>
      <w:r w:rsidRPr="00BF2B91">
        <w:rPr>
          <w:rFonts w:asciiTheme="majorHAnsi" w:hAnsiTheme="majorHAnsi" w:cstheme="majorHAnsi"/>
          <w:lang w:val="es-VE"/>
        </w:rPr>
        <w:t>.- Disminución en la factura petrolera</w:t>
      </w:r>
      <w:r w:rsidR="0063613A" w:rsidRPr="00BF2B91">
        <w:rPr>
          <w:rFonts w:asciiTheme="majorHAnsi" w:hAnsiTheme="majorHAnsi" w:cstheme="majorHAnsi"/>
          <w:lang w:val="es-VE"/>
        </w:rPr>
        <w:t>: lo cual deteriora la posición en cuanto a las reservas internacionales y el flujo de caja del Ejecutivo para poder cumplir compromisos de pago.</w:t>
      </w:r>
    </w:p>
    <w:p w:rsidR="00D768A6" w:rsidRPr="00BF2B91" w:rsidRDefault="00D768A6" w:rsidP="00CC33B9">
      <w:pPr>
        <w:spacing w:line="276" w:lineRule="auto"/>
        <w:jc w:val="both"/>
        <w:rPr>
          <w:rFonts w:asciiTheme="majorHAnsi" w:hAnsiTheme="majorHAnsi" w:cstheme="majorHAnsi"/>
          <w:lang w:val="es-VE"/>
        </w:rPr>
      </w:pPr>
      <w:r w:rsidRPr="00BF2B91">
        <w:rPr>
          <w:rFonts w:asciiTheme="majorHAnsi" w:hAnsiTheme="majorHAnsi" w:cstheme="majorHAnsi"/>
        </w:rPr>
        <w:t>Sin embargo, se observó que</w:t>
      </w:r>
      <w:r w:rsidR="00C22F52" w:rsidRPr="00BF2B91">
        <w:rPr>
          <w:rFonts w:asciiTheme="majorHAnsi" w:hAnsiTheme="majorHAnsi" w:cstheme="majorHAnsi"/>
        </w:rPr>
        <w:t>,</w:t>
      </w:r>
      <w:r w:rsidRPr="00BF2B91">
        <w:rPr>
          <w:rFonts w:asciiTheme="majorHAnsi" w:hAnsiTheme="majorHAnsi" w:cstheme="majorHAnsi"/>
        </w:rPr>
        <w:t xml:space="preserve"> pese a las disyuntivas actuales</w:t>
      </w:r>
      <w:r w:rsidR="00C22F52" w:rsidRPr="00BF2B91">
        <w:rPr>
          <w:rFonts w:asciiTheme="majorHAnsi" w:hAnsiTheme="majorHAnsi" w:cstheme="majorHAnsi"/>
        </w:rPr>
        <w:t>,</w:t>
      </w:r>
      <w:r w:rsidRPr="00BF2B91">
        <w:rPr>
          <w:rFonts w:asciiTheme="majorHAnsi" w:hAnsiTheme="majorHAnsi" w:cstheme="majorHAnsi"/>
        </w:rPr>
        <w:t xml:space="preserve"> nuestra situación se refleja de manera positiva. </w:t>
      </w:r>
      <w:r w:rsidR="00C22F52" w:rsidRPr="00BF2B91">
        <w:rPr>
          <w:rFonts w:asciiTheme="majorHAnsi" w:hAnsiTheme="majorHAnsi" w:cstheme="majorHAnsi"/>
        </w:rPr>
        <w:t>Actualmente,</w:t>
      </w:r>
      <w:r w:rsidRPr="00BF2B91">
        <w:rPr>
          <w:rFonts w:asciiTheme="majorHAnsi" w:hAnsiTheme="majorHAnsi" w:cstheme="majorHAnsi"/>
        </w:rPr>
        <w:t xml:space="preserve"> el entorno </w:t>
      </w:r>
      <w:r w:rsidR="00C22F52" w:rsidRPr="00BF2B91">
        <w:rPr>
          <w:rFonts w:asciiTheme="majorHAnsi" w:hAnsiTheme="majorHAnsi" w:cstheme="majorHAnsi"/>
        </w:rPr>
        <w:t>de</w:t>
      </w:r>
      <w:r w:rsidR="0063613A" w:rsidRPr="00BF2B91">
        <w:rPr>
          <w:rFonts w:asciiTheme="majorHAnsi" w:hAnsiTheme="majorHAnsi" w:cstheme="majorHAnsi"/>
        </w:rPr>
        <w:t xml:space="preserve"> </w:t>
      </w:r>
      <w:r w:rsidRPr="00BF2B91">
        <w:rPr>
          <w:rFonts w:asciiTheme="majorHAnsi" w:hAnsiTheme="majorHAnsi" w:cstheme="majorHAnsi"/>
        </w:rPr>
        <w:t xml:space="preserve">muchas empresas </w:t>
      </w:r>
      <w:r w:rsidR="00C22F52" w:rsidRPr="00BF2B91">
        <w:rPr>
          <w:rFonts w:asciiTheme="majorHAnsi" w:hAnsiTheme="majorHAnsi" w:cstheme="majorHAnsi"/>
        </w:rPr>
        <w:t xml:space="preserve">se observa </w:t>
      </w:r>
      <w:r w:rsidRPr="00BF2B91">
        <w:rPr>
          <w:rFonts w:asciiTheme="majorHAnsi" w:hAnsiTheme="majorHAnsi" w:cstheme="majorHAnsi"/>
        </w:rPr>
        <w:t xml:space="preserve">con dificultades para recuperar sus inversiones </w:t>
      </w:r>
      <w:r w:rsidR="00C22F52" w:rsidRPr="00BF2B91">
        <w:rPr>
          <w:rFonts w:asciiTheme="majorHAnsi" w:hAnsiTheme="majorHAnsi" w:cstheme="majorHAnsi"/>
        </w:rPr>
        <w:t>e inclusive, r</w:t>
      </w:r>
      <w:r w:rsidRPr="00BF2B91">
        <w:rPr>
          <w:rFonts w:asciiTheme="majorHAnsi" w:hAnsiTheme="majorHAnsi" w:cstheme="majorHAnsi"/>
        </w:rPr>
        <w:t>eponer</w:t>
      </w:r>
      <w:r w:rsidR="00C22F52" w:rsidRPr="00BF2B91">
        <w:rPr>
          <w:rFonts w:asciiTheme="majorHAnsi" w:hAnsiTheme="majorHAnsi" w:cstheme="majorHAnsi"/>
        </w:rPr>
        <w:t xml:space="preserve"> sus</w:t>
      </w:r>
      <w:r w:rsidRPr="00BF2B91">
        <w:rPr>
          <w:rFonts w:asciiTheme="majorHAnsi" w:hAnsiTheme="majorHAnsi" w:cstheme="majorHAnsi"/>
        </w:rPr>
        <w:t xml:space="preserve"> inventarios.  </w:t>
      </w:r>
      <w:r w:rsidR="00C22F52" w:rsidRPr="00BF2B91">
        <w:rPr>
          <w:rFonts w:asciiTheme="majorHAnsi" w:hAnsiTheme="majorHAnsi" w:cstheme="majorHAnsi"/>
        </w:rPr>
        <w:t>Se espera pues, que</w:t>
      </w:r>
      <w:r w:rsidRPr="00BF2B91">
        <w:rPr>
          <w:rFonts w:asciiTheme="majorHAnsi" w:hAnsiTheme="majorHAnsi" w:cstheme="majorHAnsi"/>
        </w:rPr>
        <w:t xml:space="preserve"> los</w:t>
      </w:r>
      <w:r w:rsidR="0063613A" w:rsidRPr="00BF2B91">
        <w:rPr>
          <w:rFonts w:asciiTheme="majorHAnsi" w:hAnsiTheme="majorHAnsi" w:cstheme="majorHAnsi"/>
        </w:rPr>
        <w:t xml:space="preserve"> </w:t>
      </w:r>
      <w:r w:rsidRPr="00BF2B91">
        <w:rPr>
          <w:rFonts w:asciiTheme="majorHAnsi" w:hAnsiTheme="majorHAnsi" w:cstheme="majorHAnsi"/>
        </w:rPr>
        <w:t xml:space="preserve">cambios en la política económica que </w:t>
      </w:r>
      <w:r w:rsidR="00C22F52" w:rsidRPr="00BF2B91">
        <w:rPr>
          <w:rFonts w:asciiTheme="majorHAnsi" w:hAnsiTheme="majorHAnsi" w:cstheme="majorHAnsi"/>
        </w:rPr>
        <w:t>señala</w:t>
      </w:r>
      <w:r w:rsidRPr="00BF2B91">
        <w:rPr>
          <w:rFonts w:asciiTheme="majorHAnsi" w:hAnsiTheme="majorHAnsi" w:cstheme="majorHAnsi"/>
        </w:rPr>
        <w:t xml:space="preserve"> el Ejecutivo Nacional </w:t>
      </w:r>
      <w:r w:rsidR="00C22F52" w:rsidRPr="00BF2B91">
        <w:rPr>
          <w:rFonts w:asciiTheme="majorHAnsi" w:hAnsiTheme="majorHAnsi" w:cstheme="majorHAnsi"/>
        </w:rPr>
        <w:t>permita</w:t>
      </w:r>
      <w:r w:rsidRPr="00BF2B91">
        <w:rPr>
          <w:rFonts w:asciiTheme="majorHAnsi" w:hAnsiTheme="majorHAnsi" w:cstheme="majorHAnsi"/>
        </w:rPr>
        <w:t xml:space="preserve"> superar </w:t>
      </w:r>
      <w:r w:rsidR="0063613A" w:rsidRPr="00BF2B91">
        <w:rPr>
          <w:rFonts w:asciiTheme="majorHAnsi" w:hAnsiTheme="majorHAnsi" w:cstheme="majorHAnsi"/>
        </w:rPr>
        <w:t>las actuales distorsiones</w:t>
      </w:r>
      <w:r w:rsidRPr="00BF2B91">
        <w:rPr>
          <w:rFonts w:asciiTheme="majorHAnsi" w:hAnsiTheme="majorHAnsi" w:cstheme="majorHAnsi"/>
        </w:rPr>
        <w:t xml:space="preserve"> que hacen </w:t>
      </w:r>
      <w:r w:rsidR="00C22F52" w:rsidRPr="00BF2B91">
        <w:rPr>
          <w:rFonts w:asciiTheme="majorHAnsi" w:hAnsiTheme="majorHAnsi" w:cstheme="majorHAnsi"/>
        </w:rPr>
        <w:t>in</w:t>
      </w:r>
      <w:r w:rsidRPr="00BF2B91">
        <w:rPr>
          <w:rFonts w:asciiTheme="majorHAnsi" w:hAnsiTheme="majorHAnsi" w:cstheme="majorHAnsi"/>
        </w:rPr>
        <w:t xml:space="preserve">viable la inversión en diversos sectores de la nación. </w:t>
      </w:r>
    </w:p>
    <w:p w:rsidR="00D768A6" w:rsidRPr="00BF2B91" w:rsidRDefault="00C22F52" w:rsidP="0040507E">
      <w:pPr>
        <w:spacing w:line="276" w:lineRule="auto"/>
        <w:jc w:val="both"/>
        <w:rPr>
          <w:rFonts w:asciiTheme="majorHAnsi" w:hAnsiTheme="majorHAnsi" w:cstheme="majorHAnsi"/>
        </w:rPr>
      </w:pPr>
      <w:r w:rsidRPr="00BF2B91">
        <w:rPr>
          <w:rFonts w:asciiTheme="majorHAnsi" w:hAnsiTheme="majorHAnsi" w:cstheme="majorHAnsi"/>
        </w:rPr>
        <w:t>No obstante, e</w:t>
      </w:r>
      <w:r w:rsidR="00D768A6" w:rsidRPr="00BF2B91">
        <w:rPr>
          <w:rFonts w:asciiTheme="majorHAnsi" w:hAnsiTheme="majorHAnsi" w:cstheme="majorHAnsi"/>
        </w:rPr>
        <w:t xml:space="preserve">l Comité de Negocios </w:t>
      </w:r>
      <w:r w:rsidR="0063613A" w:rsidRPr="00BF2B91">
        <w:rPr>
          <w:rFonts w:asciiTheme="majorHAnsi" w:hAnsiTheme="majorHAnsi" w:cstheme="majorHAnsi"/>
        </w:rPr>
        <w:t>ejecutó</w:t>
      </w:r>
      <w:r w:rsidR="00D768A6" w:rsidRPr="00BF2B91">
        <w:rPr>
          <w:rFonts w:asciiTheme="majorHAnsi" w:hAnsiTheme="majorHAnsi" w:cstheme="majorHAnsi"/>
        </w:rPr>
        <w:t xml:space="preserve"> durante este período </w:t>
      </w:r>
      <w:r w:rsidR="0063613A" w:rsidRPr="00BF2B91">
        <w:rPr>
          <w:rFonts w:asciiTheme="majorHAnsi" w:hAnsiTheme="majorHAnsi" w:cstheme="majorHAnsi"/>
        </w:rPr>
        <w:t>l</w:t>
      </w:r>
      <w:r w:rsidR="00D768A6" w:rsidRPr="00BF2B91">
        <w:rPr>
          <w:rFonts w:asciiTheme="majorHAnsi" w:hAnsiTheme="majorHAnsi" w:cstheme="majorHAnsi"/>
        </w:rPr>
        <w:t xml:space="preserve">os siguientes proyectos: </w:t>
      </w:r>
    </w:p>
    <w:p w:rsidR="0063613A" w:rsidRPr="00BF2B91" w:rsidRDefault="005970F4" w:rsidP="0063613A">
      <w:pPr>
        <w:spacing w:line="276" w:lineRule="auto"/>
        <w:jc w:val="both"/>
        <w:rPr>
          <w:rFonts w:asciiTheme="majorHAnsi" w:hAnsiTheme="majorHAnsi" w:cstheme="majorHAnsi"/>
          <w:lang w:val="es-VE"/>
        </w:rPr>
      </w:pPr>
      <w:r w:rsidRPr="00BF2B91">
        <w:rPr>
          <w:rFonts w:asciiTheme="majorHAnsi" w:hAnsiTheme="majorHAnsi" w:cstheme="majorHAnsi"/>
          <w:b/>
          <w:u w:val="single"/>
          <w:lang w:val="es-VE"/>
        </w:rPr>
        <w:t>1</w:t>
      </w:r>
      <w:r w:rsidR="0063613A" w:rsidRPr="00BF2B91">
        <w:rPr>
          <w:rFonts w:asciiTheme="majorHAnsi" w:hAnsiTheme="majorHAnsi" w:cstheme="majorHAnsi"/>
          <w:b/>
          <w:u w:val="single"/>
          <w:lang w:val="es-VE"/>
        </w:rPr>
        <w:t>.- Fundación UCV – Relanzamiento del Laboratorio Clínico CLINIFAR</w:t>
      </w:r>
      <w:r w:rsidR="0063613A" w:rsidRPr="00BF2B91">
        <w:rPr>
          <w:rFonts w:asciiTheme="majorHAnsi" w:hAnsiTheme="majorHAnsi" w:cstheme="majorHAnsi"/>
          <w:lang w:val="es-VE"/>
        </w:rPr>
        <w:t xml:space="preserve"> </w:t>
      </w:r>
    </w:p>
    <w:p w:rsidR="0063613A" w:rsidRPr="00BF2B91" w:rsidRDefault="0063613A" w:rsidP="0063613A">
      <w:pPr>
        <w:spacing w:line="276" w:lineRule="auto"/>
        <w:jc w:val="both"/>
        <w:rPr>
          <w:rFonts w:asciiTheme="majorHAnsi" w:hAnsiTheme="majorHAnsi" w:cstheme="majorHAnsi"/>
          <w:lang w:val="es-VE"/>
        </w:rPr>
      </w:pPr>
      <w:r w:rsidRPr="00BF2B91">
        <w:rPr>
          <w:rFonts w:asciiTheme="majorHAnsi" w:hAnsiTheme="majorHAnsi" w:cstheme="majorHAnsi"/>
          <w:lang w:val="es-VE"/>
        </w:rPr>
        <w:t xml:space="preserve">Luego de </w:t>
      </w:r>
      <w:r w:rsidR="003844FD">
        <w:rPr>
          <w:rFonts w:asciiTheme="majorHAnsi" w:hAnsiTheme="majorHAnsi" w:cstheme="majorHAnsi"/>
          <w:lang w:val="es-VE"/>
        </w:rPr>
        <w:t>re</w:t>
      </w:r>
      <w:r w:rsidR="007003CC" w:rsidRPr="00BF2B91">
        <w:rPr>
          <w:rFonts w:asciiTheme="majorHAnsi" w:hAnsiTheme="majorHAnsi" w:cstheme="majorHAnsi"/>
          <w:lang w:val="es-VE"/>
        </w:rPr>
        <w:t>iniciar una etapa de apertura de la directiva de la Fundacion UCV para recibir inversión de ICP</w:t>
      </w:r>
      <w:r w:rsidR="003844FD">
        <w:rPr>
          <w:rFonts w:asciiTheme="majorHAnsi" w:hAnsiTheme="majorHAnsi" w:cstheme="majorHAnsi"/>
          <w:lang w:val="es-VE"/>
        </w:rPr>
        <w:t>,</w:t>
      </w:r>
      <w:r w:rsidR="007003CC" w:rsidRPr="00BF2B91">
        <w:rPr>
          <w:rFonts w:asciiTheme="majorHAnsi" w:hAnsiTheme="majorHAnsi" w:cstheme="majorHAnsi"/>
          <w:lang w:val="es-VE"/>
        </w:rPr>
        <w:t xml:space="preserve"> se decidió </w:t>
      </w:r>
      <w:r w:rsidRPr="00BF2B91">
        <w:rPr>
          <w:rFonts w:asciiTheme="majorHAnsi" w:hAnsiTheme="majorHAnsi" w:cstheme="majorHAnsi"/>
          <w:lang w:val="es-VE"/>
        </w:rPr>
        <w:t xml:space="preserve">llevar a cabo toda la evaluación pertinente en cuanto a capacidad instalada, inventario de equipos operativos y por reparar, </w:t>
      </w:r>
      <w:r w:rsidR="005970F4" w:rsidRPr="00BF2B91">
        <w:rPr>
          <w:rFonts w:asciiTheme="majorHAnsi" w:hAnsiTheme="majorHAnsi" w:cstheme="majorHAnsi"/>
          <w:lang w:val="es-VE"/>
        </w:rPr>
        <w:t xml:space="preserve">oferta de servicios para el público, capacidades en cuanto a RRHH, entre otras variables, </w:t>
      </w:r>
      <w:r w:rsidR="007003CC" w:rsidRPr="00BF2B91">
        <w:rPr>
          <w:rFonts w:asciiTheme="majorHAnsi" w:hAnsiTheme="majorHAnsi" w:cstheme="majorHAnsi"/>
          <w:lang w:val="es-VE"/>
        </w:rPr>
        <w:t xml:space="preserve"> de CliniFar. S</w:t>
      </w:r>
      <w:r w:rsidR="005970F4" w:rsidRPr="00BF2B91">
        <w:rPr>
          <w:rFonts w:asciiTheme="majorHAnsi" w:hAnsiTheme="majorHAnsi" w:cstheme="majorHAnsi"/>
          <w:lang w:val="es-VE"/>
        </w:rPr>
        <w:t xml:space="preserve">e determinó que el monto estimado de inversión para poder reimpulsar las actividades de este laboratorio está por el orden de los </w:t>
      </w:r>
      <w:r w:rsidRPr="00BF2B91">
        <w:rPr>
          <w:rFonts w:asciiTheme="majorHAnsi" w:hAnsiTheme="majorHAnsi" w:cstheme="majorHAnsi"/>
          <w:lang w:val="es-VE"/>
        </w:rPr>
        <w:t>US$ 11.300</w:t>
      </w:r>
      <w:r w:rsidR="005970F4" w:rsidRPr="00BF2B91">
        <w:rPr>
          <w:rFonts w:asciiTheme="majorHAnsi" w:hAnsiTheme="majorHAnsi" w:cstheme="majorHAnsi"/>
          <w:lang w:val="es-VE"/>
        </w:rPr>
        <w:t>.</w:t>
      </w:r>
    </w:p>
    <w:p w:rsidR="005970F4" w:rsidRPr="00BF2B91" w:rsidRDefault="005970F4" w:rsidP="0063613A">
      <w:pPr>
        <w:spacing w:line="276" w:lineRule="auto"/>
        <w:jc w:val="both"/>
        <w:rPr>
          <w:rFonts w:asciiTheme="majorHAnsi" w:hAnsiTheme="majorHAnsi" w:cstheme="majorHAnsi"/>
          <w:lang w:val="es-VE"/>
        </w:rPr>
      </w:pPr>
      <w:r w:rsidRPr="00BF2B91">
        <w:rPr>
          <w:rFonts w:asciiTheme="majorHAnsi" w:hAnsiTheme="majorHAnsi" w:cstheme="majorHAnsi"/>
          <w:lang w:val="es-VE"/>
        </w:rPr>
        <w:t>Esta cantidad incluyó:</w:t>
      </w:r>
    </w:p>
    <w:p w:rsidR="0063613A" w:rsidRPr="00BF2B91" w:rsidRDefault="0063613A" w:rsidP="0063613A">
      <w:pPr>
        <w:spacing w:line="276" w:lineRule="auto"/>
        <w:jc w:val="both"/>
        <w:rPr>
          <w:rFonts w:asciiTheme="majorHAnsi" w:hAnsiTheme="majorHAnsi" w:cstheme="majorHAnsi"/>
          <w:lang w:val="es-VE"/>
        </w:rPr>
      </w:pPr>
      <w:r w:rsidRPr="00BF2B91">
        <w:rPr>
          <w:rFonts w:asciiTheme="majorHAnsi" w:hAnsiTheme="majorHAnsi" w:cstheme="majorHAnsi"/>
          <w:lang w:val="es-VE"/>
        </w:rPr>
        <w:tab/>
      </w:r>
      <w:r w:rsidRPr="00BF2B91">
        <w:rPr>
          <w:rFonts w:asciiTheme="majorHAnsi" w:hAnsiTheme="majorHAnsi" w:cstheme="majorHAnsi"/>
          <w:lang w:val="es-VE"/>
        </w:rPr>
        <w:tab/>
        <w:t>.- Compra de insumos y consumibles</w:t>
      </w:r>
    </w:p>
    <w:p w:rsidR="0063613A" w:rsidRPr="00BF2B91" w:rsidRDefault="0063613A" w:rsidP="0063613A">
      <w:pPr>
        <w:spacing w:line="276" w:lineRule="auto"/>
        <w:jc w:val="both"/>
        <w:rPr>
          <w:rFonts w:asciiTheme="majorHAnsi" w:hAnsiTheme="majorHAnsi" w:cstheme="majorHAnsi"/>
          <w:lang w:val="es-VE"/>
        </w:rPr>
      </w:pPr>
      <w:r w:rsidRPr="00BF2B91">
        <w:rPr>
          <w:rFonts w:asciiTheme="majorHAnsi" w:hAnsiTheme="majorHAnsi" w:cstheme="majorHAnsi"/>
          <w:lang w:val="es-VE"/>
        </w:rPr>
        <w:tab/>
      </w:r>
      <w:r w:rsidRPr="00BF2B91">
        <w:rPr>
          <w:rFonts w:asciiTheme="majorHAnsi" w:hAnsiTheme="majorHAnsi" w:cstheme="majorHAnsi"/>
          <w:lang w:val="es-VE"/>
        </w:rPr>
        <w:tab/>
        <w:t>.- Pago de servicios profesionales</w:t>
      </w:r>
    </w:p>
    <w:p w:rsidR="0063613A" w:rsidRPr="00BF2B91" w:rsidRDefault="0063613A" w:rsidP="0063613A">
      <w:pPr>
        <w:spacing w:line="276" w:lineRule="auto"/>
        <w:jc w:val="both"/>
        <w:rPr>
          <w:rFonts w:asciiTheme="majorHAnsi" w:hAnsiTheme="majorHAnsi" w:cstheme="majorHAnsi"/>
          <w:lang w:val="es-VE"/>
        </w:rPr>
      </w:pPr>
      <w:r w:rsidRPr="00BF2B91">
        <w:rPr>
          <w:rFonts w:asciiTheme="majorHAnsi" w:hAnsiTheme="majorHAnsi" w:cstheme="majorHAnsi"/>
          <w:lang w:val="es-VE"/>
        </w:rPr>
        <w:tab/>
      </w:r>
      <w:r w:rsidRPr="00BF2B91">
        <w:rPr>
          <w:rFonts w:asciiTheme="majorHAnsi" w:hAnsiTheme="majorHAnsi" w:cstheme="majorHAnsi"/>
          <w:lang w:val="es-VE"/>
        </w:rPr>
        <w:tab/>
        <w:t>.- Adquisición de activos (equipos)</w:t>
      </w:r>
    </w:p>
    <w:p w:rsidR="0063613A" w:rsidRPr="00BF2B91" w:rsidRDefault="0063613A" w:rsidP="0063613A">
      <w:pPr>
        <w:spacing w:line="276" w:lineRule="auto"/>
        <w:jc w:val="both"/>
        <w:rPr>
          <w:rFonts w:asciiTheme="majorHAnsi" w:hAnsiTheme="majorHAnsi" w:cstheme="majorHAnsi"/>
          <w:lang w:val="es-VE"/>
        </w:rPr>
      </w:pPr>
      <w:r w:rsidRPr="00BF2B91">
        <w:rPr>
          <w:rFonts w:asciiTheme="majorHAnsi" w:hAnsiTheme="majorHAnsi" w:cstheme="majorHAnsi"/>
          <w:lang w:val="es-VE"/>
        </w:rPr>
        <w:tab/>
      </w:r>
      <w:r w:rsidRPr="00BF2B91">
        <w:rPr>
          <w:rFonts w:asciiTheme="majorHAnsi" w:hAnsiTheme="majorHAnsi" w:cstheme="majorHAnsi"/>
          <w:lang w:val="es-VE"/>
        </w:rPr>
        <w:tab/>
        <w:t>.- Adecuación de infraestructura</w:t>
      </w:r>
    </w:p>
    <w:p w:rsidR="005970F4" w:rsidRPr="00BF2B91" w:rsidRDefault="005970F4" w:rsidP="0063613A">
      <w:pPr>
        <w:spacing w:line="276" w:lineRule="auto"/>
        <w:jc w:val="both"/>
        <w:rPr>
          <w:rFonts w:asciiTheme="majorHAnsi" w:hAnsiTheme="majorHAnsi" w:cstheme="majorHAnsi"/>
          <w:lang w:val="es-VE"/>
        </w:rPr>
      </w:pPr>
      <w:r w:rsidRPr="00BF2B91">
        <w:rPr>
          <w:rFonts w:asciiTheme="majorHAnsi" w:hAnsiTheme="majorHAnsi" w:cstheme="majorHAnsi"/>
          <w:lang w:val="es-VE"/>
        </w:rPr>
        <w:t>Esta evaluación fue presentada a la Fundación UCV para su evaluación.</w:t>
      </w:r>
      <w:r w:rsidR="005A12E9" w:rsidRPr="00BF2B91">
        <w:rPr>
          <w:rFonts w:asciiTheme="majorHAnsi" w:hAnsiTheme="majorHAnsi" w:cstheme="majorHAnsi"/>
          <w:lang w:val="es-VE"/>
        </w:rPr>
        <w:t xml:space="preserve"> No se pudo llegar a un acuerdo con la directiva de la Fundaci</w:t>
      </w:r>
      <w:r w:rsidR="003844FD">
        <w:rPr>
          <w:rFonts w:asciiTheme="majorHAnsi" w:hAnsiTheme="majorHAnsi" w:cstheme="majorHAnsi"/>
          <w:lang w:val="es-VE"/>
        </w:rPr>
        <w:t>ó</w:t>
      </w:r>
      <w:r w:rsidR="005A12E9" w:rsidRPr="00BF2B91">
        <w:rPr>
          <w:rFonts w:asciiTheme="majorHAnsi" w:hAnsiTheme="majorHAnsi" w:cstheme="majorHAnsi"/>
          <w:lang w:val="es-VE"/>
        </w:rPr>
        <w:t xml:space="preserve">n </w:t>
      </w:r>
      <w:r w:rsidR="003844FD">
        <w:rPr>
          <w:rFonts w:asciiTheme="majorHAnsi" w:hAnsiTheme="majorHAnsi" w:cstheme="majorHAnsi"/>
          <w:lang w:val="es-VE"/>
        </w:rPr>
        <w:t xml:space="preserve">UCV </w:t>
      </w:r>
      <w:r w:rsidR="005A12E9" w:rsidRPr="00BF2B91">
        <w:rPr>
          <w:rFonts w:asciiTheme="majorHAnsi" w:hAnsiTheme="majorHAnsi" w:cstheme="majorHAnsi"/>
          <w:lang w:val="es-VE"/>
        </w:rPr>
        <w:t>en las condiciones de inversion. Para ICP y para la Fundaci</w:t>
      </w:r>
      <w:r w:rsidR="003844FD">
        <w:rPr>
          <w:rFonts w:asciiTheme="majorHAnsi" w:hAnsiTheme="majorHAnsi" w:cstheme="majorHAnsi"/>
          <w:lang w:val="es-VE"/>
        </w:rPr>
        <w:t>ó</w:t>
      </w:r>
      <w:r w:rsidR="005A12E9" w:rsidRPr="00BF2B91">
        <w:rPr>
          <w:rFonts w:asciiTheme="majorHAnsi" w:hAnsiTheme="majorHAnsi" w:cstheme="majorHAnsi"/>
          <w:lang w:val="es-VE"/>
        </w:rPr>
        <w:t>n</w:t>
      </w:r>
      <w:r w:rsidR="003844FD">
        <w:rPr>
          <w:rFonts w:asciiTheme="majorHAnsi" w:hAnsiTheme="majorHAnsi" w:cstheme="majorHAnsi"/>
          <w:lang w:val="es-VE"/>
        </w:rPr>
        <w:t xml:space="preserve"> UCV</w:t>
      </w:r>
      <w:r w:rsidR="005A12E9" w:rsidRPr="00BF2B91">
        <w:rPr>
          <w:rFonts w:asciiTheme="majorHAnsi" w:hAnsiTheme="majorHAnsi" w:cstheme="majorHAnsi"/>
          <w:lang w:val="es-VE"/>
        </w:rPr>
        <w:t xml:space="preserve"> esta inversi</w:t>
      </w:r>
      <w:r w:rsidR="003844FD">
        <w:rPr>
          <w:rFonts w:asciiTheme="majorHAnsi" w:hAnsiTheme="majorHAnsi" w:cstheme="majorHAnsi"/>
          <w:lang w:val="es-VE"/>
        </w:rPr>
        <w:t>ó</w:t>
      </w:r>
      <w:r w:rsidR="005A12E9" w:rsidRPr="00BF2B91">
        <w:rPr>
          <w:rFonts w:asciiTheme="majorHAnsi" w:hAnsiTheme="majorHAnsi" w:cstheme="majorHAnsi"/>
          <w:lang w:val="es-VE"/>
        </w:rPr>
        <w:t>n ser</w:t>
      </w:r>
      <w:r w:rsidR="003844FD">
        <w:rPr>
          <w:rFonts w:asciiTheme="majorHAnsi" w:hAnsiTheme="majorHAnsi" w:cstheme="majorHAnsi"/>
          <w:lang w:val="es-VE"/>
        </w:rPr>
        <w:t>í</w:t>
      </w:r>
      <w:r w:rsidR="005A12E9" w:rsidRPr="00BF2B91">
        <w:rPr>
          <w:rFonts w:asciiTheme="majorHAnsi" w:hAnsiTheme="majorHAnsi" w:cstheme="majorHAnsi"/>
          <w:lang w:val="es-VE"/>
        </w:rPr>
        <w:t>a muy interesante</w:t>
      </w:r>
      <w:r w:rsidR="003844FD">
        <w:rPr>
          <w:rFonts w:asciiTheme="majorHAnsi" w:hAnsiTheme="majorHAnsi" w:cstheme="majorHAnsi"/>
          <w:lang w:val="es-VE"/>
        </w:rPr>
        <w:t>,</w:t>
      </w:r>
      <w:r w:rsidR="005A12E9" w:rsidRPr="00BF2B91">
        <w:rPr>
          <w:rFonts w:asciiTheme="majorHAnsi" w:hAnsiTheme="majorHAnsi" w:cstheme="majorHAnsi"/>
          <w:lang w:val="es-VE"/>
        </w:rPr>
        <w:t xml:space="preserve"> ya que aprovecha sinergias dentro del ramo de medicinas donde tenemos presencia  a</w:t>
      </w:r>
      <w:r w:rsidR="003844FD">
        <w:rPr>
          <w:rFonts w:asciiTheme="majorHAnsi" w:hAnsiTheme="majorHAnsi" w:cstheme="majorHAnsi"/>
          <w:lang w:val="es-VE"/>
        </w:rPr>
        <w:t xml:space="preserve"> </w:t>
      </w:r>
      <w:r w:rsidR="005A12E9" w:rsidRPr="00BF2B91">
        <w:rPr>
          <w:rFonts w:asciiTheme="majorHAnsi" w:hAnsiTheme="majorHAnsi" w:cstheme="majorHAnsi"/>
          <w:lang w:val="es-VE"/>
        </w:rPr>
        <w:t>trav</w:t>
      </w:r>
      <w:r w:rsidR="003844FD">
        <w:rPr>
          <w:rFonts w:asciiTheme="majorHAnsi" w:hAnsiTheme="majorHAnsi" w:cstheme="majorHAnsi"/>
          <w:lang w:val="es-VE"/>
        </w:rPr>
        <w:t>é</w:t>
      </w:r>
      <w:r w:rsidR="005A12E9" w:rsidRPr="00BF2B91">
        <w:rPr>
          <w:rFonts w:asciiTheme="majorHAnsi" w:hAnsiTheme="majorHAnsi" w:cstheme="majorHAnsi"/>
          <w:lang w:val="es-VE"/>
        </w:rPr>
        <w:t xml:space="preserve">s de Auximed. </w:t>
      </w:r>
    </w:p>
    <w:p w:rsidR="005970F4" w:rsidRPr="00BF2B91" w:rsidRDefault="005970F4" w:rsidP="005970F4">
      <w:pPr>
        <w:spacing w:line="276" w:lineRule="auto"/>
        <w:jc w:val="both"/>
        <w:rPr>
          <w:rFonts w:asciiTheme="majorHAnsi" w:hAnsiTheme="majorHAnsi" w:cstheme="majorHAnsi"/>
          <w:b/>
          <w:u w:val="single"/>
          <w:lang w:val="es-VE"/>
        </w:rPr>
      </w:pPr>
    </w:p>
    <w:p w:rsidR="005970F4" w:rsidRPr="00BF2B91" w:rsidRDefault="005970F4" w:rsidP="005970F4">
      <w:pPr>
        <w:spacing w:line="276" w:lineRule="auto"/>
        <w:jc w:val="both"/>
        <w:rPr>
          <w:rFonts w:asciiTheme="majorHAnsi" w:hAnsiTheme="majorHAnsi" w:cstheme="majorHAnsi"/>
          <w:b/>
          <w:u w:val="single"/>
          <w:lang w:val="es-VE"/>
        </w:rPr>
      </w:pPr>
      <w:r w:rsidRPr="00BF2B91">
        <w:rPr>
          <w:rFonts w:asciiTheme="majorHAnsi" w:hAnsiTheme="majorHAnsi" w:cstheme="majorHAnsi"/>
          <w:b/>
          <w:u w:val="single"/>
          <w:lang w:val="es-VE"/>
        </w:rPr>
        <w:t>2.- Fundación UCV – FACFAR Representaciones C.A.</w:t>
      </w:r>
    </w:p>
    <w:p w:rsidR="0063613A" w:rsidRPr="00BF2B91" w:rsidRDefault="005970F4" w:rsidP="0040507E">
      <w:pPr>
        <w:spacing w:line="276" w:lineRule="auto"/>
        <w:jc w:val="both"/>
        <w:rPr>
          <w:rFonts w:asciiTheme="majorHAnsi" w:hAnsiTheme="majorHAnsi" w:cstheme="majorHAnsi"/>
          <w:lang w:val="es-VE"/>
        </w:rPr>
      </w:pPr>
      <w:r w:rsidRPr="00BF2B91">
        <w:rPr>
          <w:rFonts w:asciiTheme="majorHAnsi" w:hAnsiTheme="majorHAnsi" w:cstheme="majorHAnsi"/>
          <w:lang w:val="es-VE"/>
        </w:rPr>
        <w:t>En relación a este proyecto, no se logró iniciar la fase de diagnóstico. Se retomará el contacto con la Fundación UCV para su ejecución.</w:t>
      </w:r>
    </w:p>
    <w:p w:rsidR="005970F4" w:rsidRPr="00BF2B91" w:rsidRDefault="005970F4" w:rsidP="0040507E">
      <w:pPr>
        <w:spacing w:line="276" w:lineRule="auto"/>
        <w:jc w:val="both"/>
        <w:rPr>
          <w:rFonts w:asciiTheme="majorHAnsi" w:hAnsiTheme="majorHAnsi" w:cstheme="majorHAnsi"/>
          <w:lang w:val="es-VE"/>
        </w:rPr>
      </w:pPr>
    </w:p>
    <w:p w:rsidR="005970F4" w:rsidRPr="00BF2B91" w:rsidRDefault="005970F4" w:rsidP="005970F4">
      <w:pPr>
        <w:spacing w:line="276" w:lineRule="auto"/>
        <w:jc w:val="both"/>
        <w:rPr>
          <w:rFonts w:asciiTheme="majorHAnsi" w:hAnsiTheme="majorHAnsi" w:cstheme="majorHAnsi"/>
          <w:b/>
          <w:bCs/>
          <w:u w:val="single"/>
        </w:rPr>
      </w:pPr>
      <w:r w:rsidRPr="00BF2B91">
        <w:rPr>
          <w:rFonts w:asciiTheme="majorHAnsi" w:hAnsiTheme="majorHAnsi" w:cstheme="majorHAnsi"/>
          <w:b/>
          <w:u w:val="single"/>
          <w:lang w:val="es-VE"/>
        </w:rPr>
        <w:t xml:space="preserve">3.- </w:t>
      </w:r>
      <w:r w:rsidRPr="00BF2B91">
        <w:rPr>
          <w:rFonts w:asciiTheme="majorHAnsi" w:hAnsiTheme="majorHAnsi" w:cstheme="majorHAnsi"/>
          <w:b/>
          <w:bCs/>
          <w:u w:val="single"/>
        </w:rPr>
        <w:t>Propuesta para desarrollar y democratizar el capital de empresas en el sector productivo venezolano, presentada a la SUNAVAL dentro del PLAN ESTRATÉGICO  DEL MERCADO DE VALORES VENEZOLANO 20189 – 2025</w:t>
      </w:r>
    </w:p>
    <w:p w:rsidR="005970F4" w:rsidRPr="00BF2B91" w:rsidRDefault="005970F4" w:rsidP="005970F4">
      <w:pPr>
        <w:spacing w:line="276" w:lineRule="auto"/>
        <w:jc w:val="both"/>
        <w:rPr>
          <w:rFonts w:asciiTheme="majorHAnsi" w:hAnsiTheme="majorHAnsi" w:cstheme="majorHAnsi"/>
          <w:lang w:val="es-VE"/>
        </w:rPr>
      </w:pPr>
      <w:r w:rsidRPr="00BF2B91">
        <w:rPr>
          <w:rFonts w:asciiTheme="majorHAnsi" w:hAnsiTheme="majorHAnsi" w:cstheme="majorHAnsi"/>
          <w:lang w:val="es-VE"/>
        </w:rPr>
        <w:lastRenderedPageBreak/>
        <w:t>Desde el mes de agosto de 2018 se inició el contacto con la SUNAVAL, para brindar todo el apoyo, como ente rector en el área de Mercado de Valores, en algunas de las Mesas Técnicas propuestas, específicamente:</w:t>
      </w:r>
    </w:p>
    <w:p w:rsidR="00423B9F" w:rsidRPr="00BF2B91" w:rsidRDefault="000F3490" w:rsidP="000F3490">
      <w:pPr>
        <w:pStyle w:val="Default"/>
        <w:rPr>
          <w:rFonts w:asciiTheme="majorHAnsi" w:eastAsia="Times New Roman" w:hAnsiTheme="majorHAnsi" w:cstheme="majorHAnsi"/>
          <w:color w:val="auto"/>
          <w:lang w:eastAsia="es-ES"/>
        </w:rPr>
      </w:pPr>
      <w:r w:rsidRPr="00BF2B91">
        <w:rPr>
          <w:rFonts w:asciiTheme="majorHAnsi" w:eastAsia="Times New Roman" w:hAnsiTheme="majorHAnsi" w:cstheme="majorHAnsi"/>
          <w:color w:val="auto"/>
          <w:lang w:eastAsia="es-ES"/>
        </w:rPr>
        <w:t xml:space="preserve">.- Objetivo No.2: </w:t>
      </w:r>
      <w:r w:rsidR="00423B9F" w:rsidRPr="00BF2B91">
        <w:rPr>
          <w:rFonts w:asciiTheme="majorHAnsi" w:eastAsia="Times New Roman" w:hAnsiTheme="majorHAnsi" w:cstheme="majorHAnsi"/>
          <w:color w:val="auto"/>
          <w:lang w:eastAsia="es-ES"/>
        </w:rPr>
        <w:t>Dinamizar el Marco Jurídico del Mercado de Valores</w:t>
      </w:r>
    </w:p>
    <w:p w:rsidR="000F3490" w:rsidRPr="00BF2B91" w:rsidRDefault="000F3490" w:rsidP="000F3490">
      <w:pPr>
        <w:pStyle w:val="Default"/>
        <w:rPr>
          <w:rFonts w:asciiTheme="majorHAnsi" w:eastAsia="Times New Roman" w:hAnsiTheme="majorHAnsi" w:cstheme="majorHAnsi"/>
          <w:color w:val="auto"/>
          <w:lang w:eastAsia="es-ES"/>
        </w:rPr>
      </w:pPr>
      <w:r w:rsidRPr="00BF2B91">
        <w:rPr>
          <w:rFonts w:asciiTheme="majorHAnsi" w:eastAsia="Times New Roman" w:hAnsiTheme="majorHAnsi" w:cstheme="majorHAnsi"/>
          <w:color w:val="auto"/>
          <w:lang w:eastAsia="es-ES"/>
        </w:rPr>
        <w:t>.- Objetivo No.4: Promover la cooperación con Mercados de Valores Internacionales</w:t>
      </w:r>
    </w:p>
    <w:p w:rsidR="000F3490" w:rsidRPr="00BF2B91" w:rsidRDefault="000F3490" w:rsidP="000F3490">
      <w:pPr>
        <w:pStyle w:val="Default"/>
        <w:rPr>
          <w:rFonts w:asciiTheme="majorHAnsi" w:eastAsia="Times New Roman" w:hAnsiTheme="majorHAnsi" w:cstheme="majorHAnsi"/>
          <w:color w:val="auto"/>
          <w:lang w:eastAsia="es-ES"/>
        </w:rPr>
      </w:pPr>
      <w:r w:rsidRPr="00BF2B91">
        <w:rPr>
          <w:rFonts w:asciiTheme="majorHAnsi" w:eastAsia="Times New Roman" w:hAnsiTheme="majorHAnsi" w:cstheme="majorHAnsi"/>
          <w:color w:val="auto"/>
          <w:lang w:eastAsia="es-ES"/>
        </w:rPr>
        <w:t>.- Objetivo No.5: Reimpulsar el Mercado de Valores</w:t>
      </w:r>
    </w:p>
    <w:p w:rsidR="000F3490" w:rsidRPr="00BF2B91" w:rsidRDefault="000F3490" w:rsidP="000F3490">
      <w:pPr>
        <w:pStyle w:val="Default"/>
        <w:rPr>
          <w:rFonts w:asciiTheme="majorHAnsi" w:hAnsiTheme="majorHAnsi" w:cstheme="majorHAnsi"/>
          <w:b/>
          <w:bCs/>
          <w:iCs/>
          <w:color w:val="auto"/>
        </w:rPr>
      </w:pPr>
    </w:p>
    <w:p w:rsidR="00D25C08" w:rsidRPr="003844FD" w:rsidRDefault="00D25C08" w:rsidP="003844FD">
      <w:pPr>
        <w:ind w:right="-1"/>
        <w:jc w:val="both"/>
        <w:rPr>
          <w:rFonts w:asciiTheme="majorHAnsi" w:hAnsiTheme="majorHAnsi" w:cstheme="majorHAnsi"/>
          <w:lang w:val="es-VE"/>
        </w:rPr>
      </w:pPr>
      <w:r w:rsidRPr="003844FD">
        <w:rPr>
          <w:rFonts w:asciiTheme="majorHAnsi" w:hAnsiTheme="majorHAnsi" w:cstheme="majorHAnsi"/>
          <w:lang w:val="es-VE"/>
        </w:rPr>
        <w:t>En este sentido</w:t>
      </w:r>
      <w:r w:rsidR="003844FD" w:rsidRPr="003844FD">
        <w:rPr>
          <w:rFonts w:asciiTheme="majorHAnsi" w:hAnsiTheme="majorHAnsi" w:cstheme="majorHAnsi"/>
          <w:lang w:val="es-VE"/>
        </w:rPr>
        <w:t>,</w:t>
      </w:r>
      <w:r w:rsidRPr="003844FD">
        <w:rPr>
          <w:rFonts w:asciiTheme="majorHAnsi" w:hAnsiTheme="majorHAnsi" w:cstheme="majorHAnsi"/>
          <w:lang w:val="es-VE"/>
        </w:rPr>
        <w:t xml:space="preserve"> </w:t>
      </w:r>
      <w:r w:rsidR="003844FD" w:rsidRPr="003844FD">
        <w:rPr>
          <w:rFonts w:asciiTheme="majorHAnsi" w:hAnsiTheme="majorHAnsi" w:cstheme="majorHAnsi"/>
          <w:lang w:val="es-VE"/>
        </w:rPr>
        <w:t xml:space="preserve">se sostuvieron </w:t>
      </w:r>
      <w:r w:rsidRPr="003844FD">
        <w:rPr>
          <w:rFonts w:asciiTheme="majorHAnsi" w:hAnsiTheme="majorHAnsi" w:cstheme="majorHAnsi"/>
          <w:lang w:val="es-VE"/>
        </w:rPr>
        <w:t>varias reuniones con las autoridades de distint</w:t>
      </w:r>
      <w:r w:rsidR="003844FD" w:rsidRPr="003844FD">
        <w:rPr>
          <w:rFonts w:asciiTheme="majorHAnsi" w:hAnsiTheme="majorHAnsi" w:cstheme="majorHAnsi"/>
          <w:lang w:val="es-VE"/>
        </w:rPr>
        <w:t>o</w:t>
      </w:r>
      <w:r w:rsidRPr="003844FD">
        <w:rPr>
          <w:rFonts w:asciiTheme="majorHAnsi" w:hAnsiTheme="majorHAnsi" w:cstheme="majorHAnsi"/>
          <w:lang w:val="es-VE"/>
        </w:rPr>
        <w:t xml:space="preserve">s Ministerios del Gobierno Nacional para presentar el apoyo que ICP puede significar para capitalizar empresas del </w:t>
      </w:r>
      <w:r w:rsidR="003844FD" w:rsidRPr="003844FD">
        <w:rPr>
          <w:rFonts w:asciiTheme="majorHAnsi" w:hAnsiTheme="majorHAnsi" w:cstheme="majorHAnsi"/>
          <w:lang w:val="es-VE"/>
        </w:rPr>
        <w:t>E</w:t>
      </w:r>
      <w:r w:rsidRPr="003844FD">
        <w:rPr>
          <w:rFonts w:asciiTheme="majorHAnsi" w:hAnsiTheme="majorHAnsi" w:cstheme="majorHAnsi"/>
          <w:lang w:val="es-VE"/>
        </w:rPr>
        <w:t xml:space="preserve">stado y democratizar su capital y reactivarlas. </w:t>
      </w:r>
    </w:p>
    <w:p w:rsidR="00D25C08" w:rsidRPr="003844FD" w:rsidRDefault="00D25C08" w:rsidP="003844FD">
      <w:pPr>
        <w:ind w:right="-1"/>
        <w:jc w:val="both"/>
        <w:rPr>
          <w:rFonts w:asciiTheme="majorHAnsi" w:hAnsiTheme="majorHAnsi" w:cstheme="majorHAnsi"/>
          <w:lang w:val="es-VE"/>
        </w:rPr>
      </w:pPr>
      <w:r w:rsidRPr="003844FD">
        <w:rPr>
          <w:rFonts w:asciiTheme="majorHAnsi" w:hAnsiTheme="majorHAnsi" w:cstheme="majorHAnsi"/>
          <w:lang w:val="es-VE"/>
        </w:rPr>
        <w:t xml:space="preserve">Adicionalmente, planteamos que la coyuntura económica actual se presenta favorable para que un ente como Inversiones Crecepymes CA se convierta en un instrumento que genere valor a empresas que se encuentra en manos del </w:t>
      </w:r>
      <w:r w:rsidR="003844FD" w:rsidRPr="003844FD">
        <w:rPr>
          <w:rFonts w:asciiTheme="majorHAnsi" w:hAnsiTheme="majorHAnsi" w:cstheme="majorHAnsi"/>
          <w:lang w:val="es-VE"/>
        </w:rPr>
        <w:t>E</w:t>
      </w:r>
      <w:r w:rsidRPr="003844FD">
        <w:rPr>
          <w:rFonts w:asciiTheme="majorHAnsi" w:hAnsiTheme="majorHAnsi" w:cstheme="majorHAnsi"/>
          <w:lang w:val="es-VE"/>
        </w:rPr>
        <w:t>stado</w:t>
      </w:r>
      <w:r w:rsidR="003844FD" w:rsidRPr="003844FD">
        <w:rPr>
          <w:rFonts w:asciiTheme="majorHAnsi" w:hAnsiTheme="majorHAnsi" w:cstheme="majorHAnsi"/>
          <w:lang w:val="es-VE"/>
        </w:rPr>
        <w:t xml:space="preserve">, </w:t>
      </w:r>
      <w:r w:rsidRPr="003844FD">
        <w:rPr>
          <w:rFonts w:asciiTheme="majorHAnsi" w:hAnsiTheme="majorHAnsi" w:cstheme="majorHAnsi"/>
          <w:lang w:val="es-VE"/>
        </w:rPr>
        <w:t>en procesos de expropiación litigiosos o  amigables  y podría contribuir a la búsqueda de soluciones ganar – ganar y mediar para desactivar eventuales disputas proponiendo alternativas que permitan a los propietarios, antiguos propietarios, o nuevos empresarios en términos claros retomar posesión de las empresa</w:t>
      </w:r>
      <w:r w:rsidR="003844FD" w:rsidRPr="003844FD">
        <w:rPr>
          <w:rFonts w:asciiTheme="majorHAnsi" w:hAnsiTheme="majorHAnsi" w:cstheme="majorHAnsi"/>
          <w:lang w:val="es-VE"/>
        </w:rPr>
        <w:t>s</w:t>
      </w:r>
      <w:r w:rsidRPr="003844FD">
        <w:rPr>
          <w:rFonts w:asciiTheme="majorHAnsi" w:hAnsiTheme="majorHAnsi" w:cstheme="majorHAnsi"/>
          <w:lang w:val="es-VE"/>
        </w:rPr>
        <w:t>, mediante : (i) un acuerdo basado en un plan de reestructuración de las mismas; (ii) el otorgar financiamiento en condiciones favorables para sus operaciones focalizándola en la democratización de su capital social y profesionalización de su gerencia y su participación en el mercado de valores de renta fija y variable.</w:t>
      </w:r>
    </w:p>
    <w:p w:rsidR="00C22F52" w:rsidRPr="003844FD" w:rsidRDefault="004425D6" w:rsidP="003844FD">
      <w:pPr>
        <w:ind w:right="-1"/>
        <w:jc w:val="both"/>
        <w:rPr>
          <w:rFonts w:asciiTheme="majorHAnsi" w:hAnsiTheme="majorHAnsi" w:cstheme="majorHAnsi"/>
          <w:lang w:val="es-VE"/>
        </w:rPr>
      </w:pPr>
      <w:r w:rsidRPr="003844FD">
        <w:rPr>
          <w:rFonts w:asciiTheme="majorHAnsi" w:hAnsiTheme="majorHAnsi" w:cstheme="majorHAnsi"/>
          <w:lang w:val="es-VE"/>
        </w:rPr>
        <w:t>La coyuntura política desde enero del 2019 ha frenado esta oportunidad</w:t>
      </w:r>
      <w:r w:rsidR="003844FD" w:rsidRPr="003844FD">
        <w:rPr>
          <w:rFonts w:asciiTheme="majorHAnsi" w:hAnsiTheme="majorHAnsi" w:cstheme="majorHAnsi"/>
          <w:lang w:val="es-VE"/>
        </w:rPr>
        <w:t>,</w:t>
      </w:r>
      <w:r w:rsidRPr="003844FD">
        <w:rPr>
          <w:rFonts w:asciiTheme="majorHAnsi" w:hAnsiTheme="majorHAnsi" w:cstheme="majorHAnsi"/>
          <w:lang w:val="es-VE"/>
        </w:rPr>
        <w:t xml:space="preserve"> no obstante creemos que este será un rol fundamental de ICP en el futuro próximo. </w:t>
      </w:r>
    </w:p>
    <w:p w:rsidR="003844FD" w:rsidRPr="003844FD" w:rsidRDefault="003844FD" w:rsidP="003844FD">
      <w:pPr>
        <w:ind w:right="-1"/>
        <w:jc w:val="both"/>
        <w:rPr>
          <w:rFonts w:asciiTheme="majorHAnsi" w:hAnsiTheme="majorHAnsi" w:cstheme="majorHAnsi"/>
          <w:lang w:val="es-VE"/>
        </w:rPr>
      </w:pPr>
    </w:p>
    <w:p w:rsidR="003844FD" w:rsidRDefault="003844FD">
      <w:pPr>
        <w:rPr>
          <w:rFonts w:asciiTheme="majorHAnsi" w:eastAsia="Calibri" w:hAnsiTheme="majorHAnsi" w:cstheme="majorHAnsi"/>
          <w:b/>
          <w:color w:val="222222"/>
          <w:shd w:val="clear" w:color="auto" w:fill="FFFFFF"/>
          <w:lang w:val="es-VE" w:eastAsia="es-VE"/>
        </w:rPr>
      </w:pPr>
      <w:r>
        <w:rPr>
          <w:rFonts w:asciiTheme="majorHAnsi" w:hAnsiTheme="majorHAnsi" w:cstheme="majorHAnsi"/>
          <w:b/>
          <w:color w:val="222222"/>
          <w:shd w:val="clear" w:color="auto" w:fill="FFFFFF"/>
          <w:lang w:eastAsia="es-VE"/>
        </w:rPr>
        <w:br w:type="page"/>
      </w:r>
    </w:p>
    <w:p w:rsidR="00770434" w:rsidRPr="00B10B3C" w:rsidRDefault="00B10B3C" w:rsidP="00B10B3C">
      <w:pPr>
        <w:spacing w:before="100" w:beforeAutospacing="1"/>
        <w:ind w:left="720"/>
        <w:jc w:val="both"/>
        <w:rPr>
          <w:rFonts w:asciiTheme="majorHAnsi" w:hAnsiTheme="majorHAnsi" w:cstheme="majorHAnsi"/>
          <w:b/>
          <w:color w:val="222222"/>
          <w:shd w:val="clear" w:color="auto" w:fill="FFFFFF"/>
          <w:lang w:eastAsia="es-VE"/>
        </w:rPr>
      </w:pPr>
      <w:r>
        <w:rPr>
          <w:rFonts w:asciiTheme="majorHAnsi" w:hAnsiTheme="majorHAnsi" w:cstheme="majorHAnsi"/>
          <w:b/>
          <w:color w:val="222222"/>
          <w:shd w:val="clear" w:color="auto" w:fill="FFFFFF"/>
          <w:lang w:val="es-VE" w:eastAsia="es-VE"/>
        </w:rPr>
        <w:lastRenderedPageBreak/>
        <w:t xml:space="preserve">2.- </w:t>
      </w:r>
      <w:r w:rsidR="00663E72" w:rsidRPr="00B10B3C">
        <w:rPr>
          <w:rFonts w:asciiTheme="majorHAnsi" w:hAnsiTheme="majorHAnsi" w:cstheme="majorHAnsi"/>
          <w:b/>
          <w:color w:val="222222"/>
          <w:shd w:val="clear" w:color="auto" w:fill="FFFFFF"/>
          <w:lang w:eastAsia="es-VE"/>
        </w:rPr>
        <w:t xml:space="preserve">Informe de </w:t>
      </w:r>
      <w:r w:rsidR="005970F4" w:rsidRPr="00B10B3C">
        <w:rPr>
          <w:rFonts w:asciiTheme="majorHAnsi" w:hAnsiTheme="majorHAnsi" w:cstheme="majorHAnsi"/>
          <w:b/>
          <w:color w:val="222222"/>
          <w:shd w:val="clear" w:color="auto" w:fill="FFFFFF"/>
          <w:lang w:eastAsia="es-VE"/>
        </w:rPr>
        <w:t>G</w:t>
      </w:r>
      <w:r w:rsidR="00663E72" w:rsidRPr="00B10B3C">
        <w:rPr>
          <w:rFonts w:asciiTheme="majorHAnsi" w:hAnsiTheme="majorHAnsi" w:cstheme="majorHAnsi"/>
          <w:b/>
          <w:color w:val="222222"/>
          <w:shd w:val="clear" w:color="auto" w:fill="FFFFFF"/>
          <w:lang w:eastAsia="es-VE"/>
        </w:rPr>
        <w:t>estión del año 201</w:t>
      </w:r>
      <w:r w:rsidR="00CC33B9" w:rsidRPr="00B10B3C">
        <w:rPr>
          <w:rFonts w:asciiTheme="majorHAnsi" w:hAnsiTheme="majorHAnsi" w:cstheme="majorHAnsi"/>
          <w:b/>
          <w:color w:val="222222"/>
          <w:shd w:val="clear" w:color="auto" w:fill="FFFFFF"/>
          <w:lang w:eastAsia="es-VE"/>
        </w:rPr>
        <w:t>8</w:t>
      </w:r>
      <w:r w:rsidR="00663E72" w:rsidRPr="00B10B3C">
        <w:rPr>
          <w:rFonts w:asciiTheme="majorHAnsi" w:hAnsiTheme="majorHAnsi" w:cstheme="majorHAnsi"/>
          <w:b/>
          <w:color w:val="222222"/>
          <w:shd w:val="clear" w:color="auto" w:fill="FFFFFF"/>
          <w:lang w:eastAsia="es-VE"/>
        </w:rPr>
        <w:t xml:space="preserve"> de </w:t>
      </w:r>
      <w:r w:rsidR="00477A98" w:rsidRPr="00B10B3C">
        <w:rPr>
          <w:rFonts w:asciiTheme="majorHAnsi" w:hAnsiTheme="majorHAnsi" w:cstheme="majorHAnsi"/>
          <w:b/>
          <w:color w:val="222222"/>
          <w:shd w:val="clear" w:color="auto" w:fill="FFFFFF"/>
          <w:lang w:eastAsia="es-VE"/>
        </w:rPr>
        <w:t>Farmacia</w:t>
      </w:r>
      <w:r w:rsidR="005970F4" w:rsidRPr="00B10B3C">
        <w:rPr>
          <w:rFonts w:asciiTheme="majorHAnsi" w:hAnsiTheme="majorHAnsi" w:cstheme="majorHAnsi"/>
          <w:b/>
          <w:color w:val="222222"/>
          <w:shd w:val="clear" w:color="auto" w:fill="FFFFFF"/>
          <w:lang w:eastAsia="es-VE"/>
        </w:rPr>
        <w:t xml:space="preserve"> </w:t>
      </w:r>
      <w:r w:rsidR="004C374F" w:rsidRPr="00B10B3C">
        <w:rPr>
          <w:rFonts w:asciiTheme="majorHAnsi" w:hAnsiTheme="majorHAnsi" w:cstheme="majorHAnsi"/>
          <w:b/>
          <w:color w:val="222222"/>
          <w:shd w:val="clear" w:color="auto" w:fill="FFFFFF"/>
          <w:lang w:eastAsia="es-VE"/>
        </w:rPr>
        <w:t>y Perfumería San Luis Gonzaga (</w:t>
      </w:r>
      <w:r w:rsidR="00663E72" w:rsidRPr="00B10B3C">
        <w:rPr>
          <w:rFonts w:asciiTheme="majorHAnsi" w:hAnsiTheme="majorHAnsi" w:cstheme="majorHAnsi"/>
          <w:b/>
          <w:color w:val="222222"/>
          <w:shd w:val="clear" w:color="auto" w:fill="FFFFFF"/>
          <w:lang w:eastAsia="es-VE"/>
        </w:rPr>
        <w:t>en lo adelante “</w:t>
      </w:r>
      <w:r w:rsidR="00D41390" w:rsidRPr="00B10B3C">
        <w:rPr>
          <w:rFonts w:asciiTheme="majorHAnsi" w:hAnsiTheme="majorHAnsi" w:cstheme="majorHAnsi"/>
          <w:b/>
          <w:color w:val="222222"/>
          <w:shd w:val="clear" w:color="auto" w:fill="FFFFFF"/>
          <w:lang w:eastAsia="es-VE"/>
        </w:rPr>
        <w:t>Auximed</w:t>
      </w:r>
      <w:r w:rsidR="00663E72" w:rsidRPr="00B10B3C">
        <w:rPr>
          <w:rFonts w:asciiTheme="majorHAnsi" w:hAnsiTheme="majorHAnsi" w:cstheme="majorHAnsi"/>
          <w:b/>
          <w:color w:val="222222"/>
          <w:shd w:val="clear" w:color="auto" w:fill="FFFFFF"/>
          <w:lang w:eastAsia="es-VE"/>
        </w:rPr>
        <w:t>”</w:t>
      </w:r>
      <w:r w:rsidR="00D41390" w:rsidRPr="00B10B3C">
        <w:rPr>
          <w:rFonts w:asciiTheme="majorHAnsi" w:hAnsiTheme="majorHAnsi" w:cstheme="majorHAnsi"/>
          <w:b/>
          <w:color w:val="222222"/>
          <w:shd w:val="clear" w:color="auto" w:fill="FFFFFF"/>
          <w:lang w:eastAsia="es-VE"/>
        </w:rPr>
        <w:t>)</w:t>
      </w:r>
      <w:r w:rsidR="001D52F7" w:rsidRPr="00B10B3C">
        <w:rPr>
          <w:rFonts w:asciiTheme="majorHAnsi" w:hAnsiTheme="majorHAnsi" w:cstheme="majorHAnsi"/>
          <w:b/>
          <w:color w:val="222222"/>
          <w:shd w:val="clear" w:color="auto" w:fill="FFFFFF"/>
          <w:lang w:eastAsia="es-VE"/>
        </w:rPr>
        <w:t>:</w:t>
      </w:r>
    </w:p>
    <w:p w:rsidR="00C50BF6" w:rsidRPr="00BF2B91" w:rsidRDefault="00C50BF6" w:rsidP="005970F4">
      <w:pPr>
        <w:spacing w:line="276" w:lineRule="auto"/>
        <w:jc w:val="both"/>
        <w:rPr>
          <w:rFonts w:asciiTheme="majorHAnsi" w:hAnsiTheme="majorHAnsi" w:cstheme="majorHAnsi"/>
        </w:rPr>
      </w:pPr>
      <w:r w:rsidRPr="00BF2B91">
        <w:rPr>
          <w:rFonts w:asciiTheme="majorHAnsi" w:hAnsiTheme="majorHAnsi" w:cstheme="majorHAnsi"/>
        </w:rPr>
        <w:t>En cuanto a la gestión de Auximed, a continuación se señalan los puntos discutidos con el fin de describir la situación para el año 201</w:t>
      </w:r>
      <w:r w:rsidR="005970F4" w:rsidRPr="00BF2B91">
        <w:rPr>
          <w:rFonts w:asciiTheme="majorHAnsi" w:hAnsiTheme="majorHAnsi" w:cstheme="majorHAnsi"/>
        </w:rPr>
        <w:t>8</w:t>
      </w:r>
      <w:r w:rsidRPr="00BF2B91">
        <w:rPr>
          <w:rFonts w:asciiTheme="majorHAnsi" w:hAnsiTheme="majorHAnsi" w:cstheme="majorHAnsi"/>
        </w:rPr>
        <w:t>:</w:t>
      </w:r>
    </w:p>
    <w:p w:rsidR="00C50BF6" w:rsidRPr="00BF2B91" w:rsidRDefault="00C50BF6" w:rsidP="0040507E">
      <w:pPr>
        <w:spacing w:line="276" w:lineRule="auto"/>
        <w:jc w:val="both"/>
        <w:rPr>
          <w:rFonts w:asciiTheme="majorHAnsi" w:hAnsiTheme="majorHAnsi" w:cstheme="majorHAnsi"/>
        </w:rPr>
      </w:pPr>
    </w:p>
    <w:p w:rsidR="00C50BF6" w:rsidRPr="00BF2B91" w:rsidRDefault="00663E72" w:rsidP="0040507E">
      <w:pPr>
        <w:pStyle w:val="Prrafodelista"/>
        <w:numPr>
          <w:ilvl w:val="0"/>
          <w:numId w:val="15"/>
        </w:numPr>
        <w:jc w:val="both"/>
        <w:rPr>
          <w:rFonts w:asciiTheme="majorHAnsi" w:hAnsiTheme="majorHAnsi" w:cstheme="majorHAnsi"/>
          <w:sz w:val="24"/>
          <w:szCs w:val="24"/>
        </w:rPr>
      </w:pPr>
      <w:r w:rsidRPr="00BF2B91">
        <w:rPr>
          <w:rFonts w:asciiTheme="majorHAnsi" w:hAnsiTheme="majorHAnsi" w:cstheme="majorHAnsi"/>
          <w:sz w:val="24"/>
          <w:szCs w:val="24"/>
        </w:rPr>
        <w:t>Se detalló el desenvolvimiento de las ventas mensuales de Auximed, para los años 201</w:t>
      </w:r>
      <w:r w:rsidR="005970F4" w:rsidRPr="00BF2B91">
        <w:rPr>
          <w:rFonts w:asciiTheme="majorHAnsi" w:hAnsiTheme="majorHAnsi" w:cstheme="majorHAnsi"/>
          <w:sz w:val="24"/>
          <w:szCs w:val="24"/>
        </w:rPr>
        <w:t>7</w:t>
      </w:r>
      <w:r w:rsidRPr="00BF2B91">
        <w:rPr>
          <w:rFonts w:asciiTheme="majorHAnsi" w:hAnsiTheme="majorHAnsi" w:cstheme="majorHAnsi"/>
          <w:sz w:val="24"/>
          <w:szCs w:val="24"/>
        </w:rPr>
        <w:t>-201</w:t>
      </w:r>
      <w:r w:rsidR="005970F4" w:rsidRPr="00BF2B91">
        <w:rPr>
          <w:rFonts w:asciiTheme="majorHAnsi" w:hAnsiTheme="majorHAnsi" w:cstheme="majorHAnsi"/>
          <w:sz w:val="24"/>
          <w:szCs w:val="24"/>
        </w:rPr>
        <w:t>8</w:t>
      </w:r>
      <w:r w:rsidRPr="00BF2B91">
        <w:rPr>
          <w:rFonts w:asciiTheme="majorHAnsi" w:hAnsiTheme="majorHAnsi" w:cstheme="majorHAnsi"/>
          <w:sz w:val="24"/>
          <w:szCs w:val="24"/>
        </w:rPr>
        <w:t xml:space="preserve">, en donde se observó un aumento </w:t>
      </w:r>
      <w:r w:rsidR="005970F4" w:rsidRPr="00BF2B91">
        <w:rPr>
          <w:rFonts w:asciiTheme="majorHAnsi" w:hAnsiTheme="majorHAnsi" w:cstheme="majorHAnsi"/>
          <w:sz w:val="24"/>
          <w:szCs w:val="24"/>
        </w:rPr>
        <w:t>importante</w:t>
      </w:r>
      <w:r w:rsidRPr="00BF2B91">
        <w:rPr>
          <w:rFonts w:asciiTheme="majorHAnsi" w:hAnsiTheme="majorHAnsi" w:cstheme="majorHAnsi"/>
          <w:sz w:val="24"/>
          <w:szCs w:val="24"/>
        </w:rPr>
        <w:t xml:space="preserve"> a partir del mes de </w:t>
      </w:r>
      <w:r w:rsidR="005970F4" w:rsidRPr="00BF2B91">
        <w:rPr>
          <w:rFonts w:asciiTheme="majorHAnsi" w:hAnsiTheme="majorHAnsi" w:cstheme="majorHAnsi"/>
          <w:sz w:val="24"/>
          <w:szCs w:val="24"/>
        </w:rPr>
        <w:t xml:space="preserve">agosto </w:t>
      </w:r>
      <w:r w:rsidRPr="00BF2B91">
        <w:rPr>
          <w:rFonts w:asciiTheme="majorHAnsi" w:hAnsiTheme="majorHAnsi" w:cstheme="majorHAnsi"/>
          <w:sz w:val="24"/>
          <w:szCs w:val="24"/>
        </w:rPr>
        <w:t>del año 201</w:t>
      </w:r>
      <w:r w:rsidR="005970F4" w:rsidRPr="00BF2B91">
        <w:rPr>
          <w:rFonts w:asciiTheme="majorHAnsi" w:hAnsiTheme="majorHAnsi" w:cstheme="majorHAnsi"/>
          <w:sz w:val="24"/>
          <w:szCs w:val="24"/>
        </w:rPr>
        <w:t>8</w:t>
      </w:r>
      <w:r w:rsidRPr="00BF2B91">
        <w:rPr>
          <w:rFonts w:asciiTheme="majorHAnsi" w:hAnsiTheme="majorHAnsi" w:cstheme="majorHAnsi"/>
          <w:sz w:val="24"/>
          <w:szCs w:val="24"/>
        </w:rPr>
        <w:t>, debido al incremento inflacionario en los costos de los productos</w:t>
      </w:r>
      <w:r w:rsidR="00FA4214">
        <w:rPr>
          <w:rFonts w:asciiTheme="majorHAnsi" w:hAnsiTheme="majorHAnsi" w:cstheme="majorHAnsi"/>
          <w:sz w:val="24"/>
          <w:szCs w:val="24"/>
        </w:rPr>
        <w:t>,</w:t>
      </w:r>
      <w:r w:rsidR="005970F4" w:rsidRPr="00BF2B91">
        <w:rPr>
          <w:rFonts w:asciiTheme="majorHAnsi" w:hAnsiTheme="majorHAnsi" w:cstheme="majorHAnsi"/>
          <w:sz w:val="24"/>
          <w:szCs w:val="24"/>
        </w:rPr>
        <w:t xml:space="preserve"> </w:t>
      </w:r>
      <w:r w:rsidR="00FA4214">
        <w:rPr>
          <w:rFonts w:asciiTheme="majorHAnsi" w:hAnsiTheme="majorHAnsi" w:cstheme="majorHAnsi"/>
          <w:sz w:val="24"/>
          <w:szCs w:val="24"/>
        </w:rPr>
        <w:t>provocado por el proceso</w:t>
      </w:r>
      <w:r w:rsidR="005970F4" w:rsidRPr="00BF2B91">
        <w:rPr>
          <w:rFonts w:asciiTheme="majorHAnsi" w:hAnsiTheme="majorHAnsi" w:cstheme="majorHAnsi"/>
          <w:sz w:val="24"/>
          <w:szCs w:val="24"/>
        </w:rPr>
        <w:t xml:space="preserve"> de la Reconversión Monetaria</w:t>
      </w:r>
      <w:r w:rsidRPr="00BF2B91">
        <w:rPr>
          <w:rFonts w:asciiTheme="majorHAnsi" w:hAnsiTheme="majorHAnsi" w:cstheme="majorHAnsi"/>
          <w:sz w:val="24"/>
          <w:szCs w:val="24"/>
        </w:rPr>
        <w:t>. Asimismo, se evaluó el reporte de ventas del mes de diciembre del año 201</w:t>
      </w:r>
      <w:r w:rsidR="00423B9F" w:rsidRPr="00BF2B91">
        <w:rPr>
          <w:rFonts w:asciiTheme="majorHAnsi" w:hAnsiTheme="majorHAnsi" w:cstheme="majorHAnsi"/>
          <w:sz w:val="24"/>
          <w:szCs w:val="24"/>
        </w:rPr>
        <w:t>8</w:t>
      </w:r>
      <w:r w:rsidRPr="00BF2B91">
        <w:rPr>
          <w:rFonts w:asciiTheme="majorHAnsi" w:hAnsiTheme="majorHAnsi" w:cstheme="majorHAnsi"/>
          <w:sz w:val="24"/>
          <w:szCs w:val="24"/>
        </w:rPr>
        <w:t>, donde se verificó la cantidad de unidades vendidas y el monto expresado en B</w:t>
      </w:r>
      <w:r w:rsidR="00423B9F" w:rsidRPr="00BF2B91">
        <w:rPr>
          <w:rFonts w:asciiTheme="majorHAnsi" w:hAnsiTheme="majorHAnsi" w:cstheme="majorHAnsi"/>
          <w:sz w:val="24"/>
          <w:szCs w:val="24"/>
        </w:rPr>
        <w:t>s.S</w:t>
      </w:r>
      <w:r w:rsidRPr="00BF2B91">
        <w:rPr>
          <w:rFonts w:asciiTheme="majorHAnsi" w:hAnsiTheme="majorHAnsi" w:cstheme="majorHAnsi"/>
          <w:sz w:val="24"/>
          <w:szCs w:val="24"/>
        </w:rPr>
        <w:t>.</w:t>
      </w:r>
    </w:p>
    <w:p w:rsidR="00C50BF6" w:rsidRPr="00BF2B91" w:rsidRDefault="00FA4214" w:rsidP="0040507E">
      <w:pPr>
        <w:pStyle w:val="Prrafodelista"/>
        <w:numPr>
          <w:ilvl w:val="0"/>
          <w:numId w:val="15"/>
        </w:numPr>
        <w:jc w:val="both"/>
        <w:rPr>
          <w:rFonts w:asciiTheme="majorHAnsi" w:hAnsiTheme="majorHAnsi" w:cstheme="majorHAnsi"/>
          <w:sz w:val="24"/>
          <w:szCs w:val="24"/>
        </w:rPr>
      </w:pPr>
      <w:r>
        <w:rPr>
          <w:rFonts w:asciiTheme="majorHAnsi" w:hAnsiTheme="majorHAnsi" w:cstheme="majorHAnsi"/>
          <w:sz w:val="24"/>
          <w:szCs w:val="24"/>
        </w:rPr>
        <w:t xml:space="preserve">Se expuso </w:t>
      </w:r>
      <w:r w:rsidR="00663E72" w:rsidRPr="00BF2B91">
        <w:rPr>
          <w:rFonts w:asciiTheme="majorHAnsi" w:hAnsiTheme="majorHAnsi" w:cstheme="majorHAnsi"/>
          <w:sz w:val="24"/>
          <w:szCs w:val="24"/>
        </w:rPr>
        <w:t xml:space="preserve">la distribución de las ventas de Auximed por cada tipo de cliente, permitiendo así analizar la proporción porcentual y detallar la utilidad y margen de ganancia de cada grupo de cliente, los cuales se dividen en: </w:t>
      </w:r>
      <w:r w:rsidR="00663E72" w:rsidRPr="00BF2B91">
        <w:rPr>
          <w:rFonts w:asciiTheme="majorHAnsi" w:hAnsiTheme="majorHAnsi" w:cstheme="majorHAnsi"/>
          <w:i/>
          <w:sz w:val="24"/>
          <w:szCs w:val="24"/>
        </w:rPr>
        <w:t>(i) Aseguradoras:</w:t>
      </w:r>
      <w:r w:rsidR="00663E72" w:rsidRPr="00BF2B91">
        <w:rPr>
          <w:rFonts w:asciiTheme="majorHAnsi" w:hAnsiTheme="majorHAnsi" w:cstheme="majorHAnsi"/>
          <w:sz w:val="24"/>
          <w:szCs w:val="24"/>
        </w:rPr>
        <w:t xml:space="preserve"> Compañías con las que se mantiene un acuerdo de servicio para entregar los medicamentos a beneficiarios de las pólizas; </w:t>
      </w:r>
      <w:r w:rsidR="00663E72" w:rsidRPr="00BF2B91">
        <w:rPr>
          <w:rFonts w:asciiTheme="majorHAnsi" w:hAnsiTheme="majorHAnsi" w:cstheme="majorHAnsi"/>
          <w:i/>
          <w:sz w:val="24"/>
          <w:szCs w:val="24"/>
        </w:rPr>
        <w:t>(ii) Particulares:</w:t>
      </w:r>
      <w:r w:rsidR="00663E72" w:rsidRPr="00BF2B91">
        <w:rPr>
          <w:rFonts w:asciiTheme="majorHAnsi" w:hAnsiTheme="majorHAnsi" w:cstheme="majorHAnsi"/>
          <w:sz w:val="24"/>
          <w:szCs w:val="24"/>
        </w:rPr>
        <w:t xml:space="preserve"> Clientes que utilizan los servicios de Auximed a título particular, cancelando generalmente los servicios de contado; y </w:t>
      </w:r>
      <w:r w:rsidR="00663E72" w:rsidRPr="00BF2B91">
        <w:rPr>
          <w:rFonts w:asciiTheme="majorHAnsi" w:hAnsiTheme="majorHAnsi" w:cstheme="majorHAnsi"/>
          <w:i/>
          <w:sz w:val="24"/>
          <w:szCs w:val="24"/>
        </w:rPr>
        <w:t>(iii) Corporativos:</w:t>
      </w:r>
      <w:r w:rsidR="00663E72" w:rsidRPr="00BF2B91">
        <w:rPr>
          <w:rFonts w:asciiTheme="majorHAnsi" w:hAnsiTheme="majorHAnsi" w:cstheme="majorHAnsi"/>
          <w:sz w:val="24"/>
          <w:szCs w:val="24"/>
        </w:rPr>
        <w:t xml:space="preserve"> Aquellas personas jurídicas que adquieren productos al mayor -medicamentos y frecuentemente insumos médicos-. </w:t>
      </w:r>
    </w:p>
    <w:p w:rsidR="00C50BF6" w:rsidRPr="00BF2B91" w:rsidRDefault="00C50BF6" w:rsidP="0040507E">
      <w:pPr>
        <w:pStyle w:val="Prrafodelista"/>
        <w:numPr>
          <w:ilvl w:val="0"/>
          <w:numId w:val="15"/>
        </w:numPr>
        <w:jc w:val="both"/>
        <w:rPr>
          <w:rFonts w:asciiTheme="majorHAnsi" w:hAnsiTheme="majorHAnsi" w:cstheme="majorHAnsi"/>
          <w:sz w:val="24"/>
          <w:szCs w:val="24"/>
        </w:rPr>
      </w:pPr>
      <w:r w:rsidRPr="00BF2B91">
        <w:rPr>
          <w:rFonts w:asciiTheme="majorHAnsi" w:hAnsiTheme="majorHAnsi" w:cstheme="majorHAnsi"/>
          <w:sz w:val="24"/>
          <w:szCs w:val="24"/>
        </w:rPr>
        <w:t>Se expuso los resultados de las ventas por cada tipo de cliente, así como la cantida</w:t>
      </w:r>
      <w:r w:rsidR="00FA4214">
        <w:rPr>
          <w:rFonts w:asciiTheme="majorHAnsi" w:hAnsiTheme="majorHAnsi" w:cstheme="majorHAnsi"/>
          <w:sz w:val="24"/>
          <w:szCs w:val="24"/>
        </w:rPr>
        <w:t xml:space="preserve">d de facturas correspondientes </w:t>
      </w:r>
      <w:r w:rsidRPr="00BF2B91">
        <w:rPr>
          <w:rFonts w:asciiTheme="majorHAnsi" w:hAnsiTheme="majorHAnsi" w:cstheme="majorHAnsi"/>
          <w:sz w:val="24"/>
          <w:szCs w:val="24"/>
        </w:rPr>
        <w:t>en los últimos meses del año 201</w:t>
      </w:r>
      <w:r w:rsidR="00423B9F" w:rsidRPr="00BF2B91">
        <w:rPr>
          <w:rFonts w:asciiTheme="majorHAnsi" w:hAnsiTheme="majorHAnsi" w:cstheme="majorHAnsi"/>
          <w:sz w:val="24"/>
          <w:szCs w:val="24"/>
        </w:rPr>
        <w:t>8</w:t>
      </w:r>
      <w:r w:rsidRPr="00BF2B91">
        <w:rPr>
          <w:rFonts w:asciiTheme="majorHAnsi" w:hAnsiTheme="majorHAnsi" w:cstheme="majorHAnsi"/>
          <w:sz w:val="24"/>
          <w:szCs w:val="24"/>
        </w:rPr>
        <w:t xml:space="preserve">, aunque se esté generando </w:t>
      </w:r>
      <w:r w:rsidR="00423B9F" w:rsidRPr="00BF2B91">
        <w:rPr>
          <w:rFonts w:asciiTheme="majorHAnsi" w:hAnsiTheme="majorHAnsi" w:cstheme="majorHAnsi"/>
          <w:sz w:val="24"/>
          <w:szCs w:val="24"/>
        </w:rPr>
        <w:t>una disminución en la</w:t>
      </w:r>
      <w:r w:rsidRPr="00BF2B91">
        <w:rPr>
          <w:rFonts w:asciiTheme="majorHAnsi" w:hAnsiTheme="majorHAnsi" w:cstheme="majorHAnsi"/>
          <w:sz w:val="24"/>
          <w:szCs w:val="24"/>
        </w:rPr>
        <w:t xml:space="preserve"> cantidad de facturas, el valor </w:t>
      </w:r>
      <w:r w:rsidR="00423B9F" w:rsidRPr="00BF2B91">
        <w:rPr>
          <w:rFonts w:asciiTheme="majorHAnsi" w:hAnsiTheme="majorHAnsi" w:cstheme="majorHAnsi"/>
          <w:sz w:val="24"/>
          <w:szCs w:val="24"/>
        </w:rPr>
        <w:t>de los montos allí establecidos</w:t>
      </w:r>
      <w:r w:rsidRPr="00BF2B91">
        <w:rPr>
          <w:rFonts w:asciiTheme="majorHAnsi" w:hAnsiTheme="majorHAnsi" w:cstheme="majorHAnsi"/>
          <w:sz w:val="24"/>
          <w:szCs w:val="24"/>
        </w:rPr>
        <w:t xml:space="preserve"> se ha incrementado </w:t>
      </w:r>
      <w:r w:rsidR="00423B9F" w:rsidRPr="00BF2B91">
        <w:rPr>
          <w:rFonts w:asciiTheme="majorHAnsi" w:hAnsiTheme="majorHAnsi" w:cstheme="majorHAnsi"/>
          <w:sz w:val="24"/>
          <w:szCs w:val="24"/>
        </w:rPr>
        <w:t>considerablemente</w:t>
      </w:r>
      <w:r w:rsidRPr="00BF2B91">
        <w:rPr>
          <w:rFonts w:asciiTheme="majorHAnsi" w:hAnsiTheme="majorHAnsi" w:cstheme="majorHAnsi"/>
          <w:sz w:val="24"/>
          <w:szCs w:val="24"/>
        </w:rPr>
        <w:t xml:space="preserve"> debido al aumento de los precios de los productos por la situación </w:t>
      </w:r>
      <w:r w:rsidR="00423B9F" w:rsidRPr="00BF2B91">
        <w:rPr>
          <w:rFonts w:asciiTheme="majorHAnsi" w:hAnsiTheme="majorHAnsi" w:cstheme="majorHAnsi"/>
          <w:sz w:val="24"/>
          <w:szCs w:val="24"/>
        </w:rPr>
        <w:t>hiper</w:t>
      </w:r>
      <w:r w:rsidRPr="00BF2B91">
        <w:rPr>
          <w:rFonts w:asciiTheme="majorHAnsi" w:hAnsiTheme="majorHAnsi" w:cstheme="majorHAnsi"/>
          <w:sz w:val="24"/>
          <w:szCs w:val="24"/>
        </w:rPr>
        <w:t xml:space="preserve">inflacionaria que afronta el país. </w:t>
      </w:r>
    </w:p>
    <w:p w:rsidR="00C50BF6" w:rsidRPr="00BF2B91" w:rsidRDefault="00C50BF6" w:rsidP="0040507E">
      <w:pPr>
        <w:pStyle w:val="Prrafodelista"/>
        <w:numPr>
          <w:ilvl w:val="0"/>
          <w:numId w:val="15"/>
        </w:numPr>
        <w:jc w:val="both"/>
        <w:rPr>
          <w:rFonts w:asciiTheme="majorHAnsi" w:hAnsiTheme="majorHAnsi" w:cstheme="majorHAnsi"/>
          <w:sz w:val="24"/>
          <w:szCs w:val="24"/>
        </w:rPr>
      </w:pPr>
      <w:r w:rsidRPr="00BF2B91">
        <w:rPr>
          <w:rFonts w:asciiTheme="majorHAnsi" w:hAnsiTheme="majorHAnsi" w:cstheme="majorHAnsi"/>
          <w:sz w:val="24"/>
          <w:szCs w:val="24"/>
        </w:rPr>
        <w:t>Se analizó la distribución de las ventas por tipo de producto, evidenciando las cantidades vendidas, su costo y utilidad, así como los resultados de ventas mensuales hasta diciembre del año 201</w:t>
      </w:r>
      <w:r w:rsidR="00423B9F" w:rsidRPr="00BF2B91">
        <w:rPr>
          <w:rFonts w:asciiTheme="majorHAnsi" w:hAnsiTheme="majorHAnsi" w:cstheme="majorHAnsi"/>
          <w:sz w:val="24"/>
          <w:szCs w:val="24"/>
        </w:rPr>
        <w:t>8</w:t>
      </w:r>
      <w:r w:rsidRPr="00BF2B91">
        <w:rPr>
          <w:rFonts w:asciiTheme="majorHAnsi" w:hAnsiTheme="majorHAnsi" w:cstheme="majorHAnsi"/>
          <w:sz w:val="24"/>
          <w:szCs w:val="24"/>
        </w:rPr>
        <w:t xml:space="preserve">, mostrando la información de unidades vendidas y los costos de las ventas, verificando mensualmente la variación presentada. </w:t>
      </w:r>
    </w:p>
    <w:p w:rsidR="00C50BF6" w:rsidRPr="00BF2B91" w:rsidRDefault="00C50BF6" w:rsidP="001C141C">
      <w:pPr>
        <w:pStyle w:val="Prrafodelista"/>
        <w:numPr>
          <w:ilvl w:val="0"/>
          <w:numId w:val="15"/>
        </w:numPr>
        <w:jc w:val="both"/>
        <w:rPr>
          <w:rFonts w:asciiTheme="majorHAnsi" w:hAnsiTheme="majorHAnsi" w:cstheme="majorHAnsi"/>
          <w:sz w:val="24"/>
          <w:szCs w:val="24"/>
        </w:rPr>
      </w:pPr>
      <w:r w:rsidRPr="00BF2B91">
        <w:rPr>
          <w:rFonts w:asciiTheme="majorHAnsi" w:hAnsiTheme="majorHAnsi" w:cstheme="majorHAnsi"/>
          <w:sz w:val="24"/>
          <w:szCs w:val="24"/>
        </w:rPr>
        <w:t>Se evaluó la composición del inventario para el mes de diciembre del año 201</w:t>
      </w:r>
      <w:r w:rsidR="00423B9F" w:rsidRPr="00BF2B91">
        <w:rPr>
          <w:rFonts w:asciiTheme="majorHAnsi" w:hAnsiTheme="majorHAnsi" w:cstheme="majorHAnsi"/>
          <w:sz w:val="24"/>
          <w:szCs w:val="24"/>
        </w:rPr>
        <w:t>8</w:t>
      </w:r>
      <w:r w:rsidRPr="00BF2B91">
        <w:rPr>
          <w:rFonts w:asciiTheme="majorHAnsi" w:hAnsiTheme="majorHAnsi" w:cstheme="majorHAnsi"/>
          <w:sz w:val="24"/>
          <w:szCs w:val="24"/>
        </w:rPr>
        <w:t xml:space="preserve">, </w:t>
      </w:r>
    </w:p>
    <w:p w:rsidR="00C50BF6" w:rsidRPr="003844FD" w:rsidRDefault="00C50BF6" w:rsidP="001C141C">
      <w:pPr>
        <w:pStyle w:val="Prrafodelista"/>
        <w:numPr>
          <w:ilvl w:val="0"/>
          <w:numId w:val="15"/>
        </w:numPr>
        <w:jc w:val="both"/>
        <w:rPr>
          <w:rFonts w:asciiTheme="majorHAnsi" w:hAnsiTheme="majorHAnsi" w:cstheme="majorHAnsi"/>
          <w:sz w:val="24"/>
          <w:szCs w:val="24"/>
        </w:rPr>
      </w:pPr>
      <w:r w:rsidRPr="00BF2B91">
        <w:rPr>
          <w:rFonts w:asciiTheme="majorHAnsi" w:hAnsiTheme="majorHAnsi" w:cstheme="majorHAnsi"/>
          <w:sz w:val="24"/>
          <w:szCs w:val="24"/>
        </w:rPr>
        <w:t>Se verificó el estado de resultado</w:t>
      </w:r>
      <w:r w:rsidR="00423B9F" w:rsidRPr="00BF2B91">
        <w:rPr>
          <w:rFonts w:asciiTheme="majorHAnsi" w:hAnsiTheme="majorHAnsi" w:cstheme="majorHAnsi"/>
          <w:sz w:val="24"/>
          <w:szCs w:val="24"/>
        </w:rPr>
        <w:t>s</w:t>
      </w:r>
      <w:r w:rsidRPr="00BF2B91">
        <w:rPr>
          <w:rFonts w:asciiTheme="majorHAnsi" w:hAnsiTheme="majorHAnsi" w:cstheme="majorHAnsi"/>
          <w:sz w:val="24"/>
          <w:szCs w:val="24"/>
        </w:rPr>
        <w:t xml:space="preserve"> de ganancias y pérdidas para el período comprendido desde el 01 de enero de 201</w:t>
      </w:r>
      <w:r w:rsidR="00423B9F" w:rsidRPr="00BF2B91">
        <w:rPr>
          <w:rFonts w:asciiTheme="majorHAnsi" w:hAnsiTheme="majorHAnsi" w:cstheme="majorHAnsi"/>
          <w:sz w:val="24"/>
          <w:szCs w:val="24"/>
        </w:rPr>
        <w:t>8</w:t>
      </w:r>
      <w:r w:rsidRPr="00BF2B91">
        <w:rPr>
          <w:rFonts w:asciiTheme="majorHAnsi" w:hAnsiTheme="majorHAnsi" w:cstheme="majorHAnsi"/>
          <w:sz w:val="24"/>
          <w:szCs w:val="24"/>
        </w:rPr>
        <w:t xml:space="preserve"> hasta el 31 de diciembre de 201</w:t>
      </w:r>
      <w:r w:rsidR="00423B9F" w:rsidRPr="00BF2B91">
        <w:rPr>
          <w:rFonts w:asciiTheme="majorHAnsi" w:hAnsiTheme="majorHAnsi" w:cstheme="majorHAnsi"/>
          <w:sz w:val="24"/>
          <w:szCs w:val="24"/>
        </w:rPr>
        <w:t>8</w:t>
      </w:r>
      <w:r w:rsidRPr="00BF2B91">
        <w:rPr>
          <w:rFonts w:asciiTheme="majorHAnsi" w:hAnsiTheme="majorHAnsi" w:cstheme="majorHAnsi"/>
          <w:sz w:val="24"/>
          <w:szCs w:val="24"/>
        </w:rPr>
        <w:t xml:space="preserve">. </w:t>
      </w:r>
    </w:p>
    <w:p w:rsidR="003844FD" w:rsidRDefault="003844FD">
      <w:pPr>
        <w:rPr>
          <w:rFonts w:asciiTheme="majorHAnsi" w:eastAsia="Calibri" w:hAnsiTheme="majorHAnsi" w:cstheme="majorHAnsi"/>
          <w:lang w:val="es-VE" w:eastAsia="en-US"/>
        </w:rPr>
      </w:pPr>
      <w:r>
        <w:rPr>
          <w:rFonts w:asciiTheme="majorHAnsi" w:hAnsiTheme="majorHAnsi" w:cstheme="majorHAnsi"/>
        </w:rPr>
        <w:br w:type="page"/>
      </w:r>
    </w:p>
    <w:p w:rsidR="003844FD" w:rsidRPr="003844FD" w:rsidRDefault="003844FD" w:rsidP="003844FD">
      <w:pPr>
        <w:jc w:val="center"/>
        <w:rPr>
          <w:rFonts w:asciiTheme="majorHAnsi" w:hAnsiTheme="majorHAnsi"/>
          <w:b/>
          <w:u w:val="single"/>
        </w:rPr>
      </w:pPr>
      <w:r w:rsidRPr="003844FD">
        <w:rPr>
          <w:rFonts w:asciiTheme="majorHAnsi" w:hAnsiTheme="majorHAnsi"/>
          <w:b/>
          <w:u w:val="single"/>
        </w:rPr>
        <w:lastRenderedPageBreak/>
        <w:t>FARMACIA Y PERFUMERIA SAN LUIS GONZAGA, C.A.</w:t>
      </w:r>
    </w:p>
    <w:p w:rsidR="003844FD" w:rsidRPr="003844FD" w:rsidRDefault="003844FD" w:rsidP="003844FD">
      <w:pPr>
        <w:jc w:val="center"/>
        <w:rPr>
          <w:rFonts w:asciiTheme="majorHAnsi" w:hAnsiTheme="majorHAnsi"/>
          <w:b/>
          <w:u w:val="single"/>
        </w:rPr>
      </w:pPr>
      <w:r w:rsidRPr="003844FD">
        <w:rPr>
          <w:rFonts w:asciiTheme="majorHAnsi" w:hAnsiTheme="majorHAnsi"/>
          <w:b/>
          <w:u w:val="single"/>
        </w:rPr>
        <w:t>ESTADO DE SITUACION FINANCIERA</w:t>
      </w:r>
    </w:p>
    <w:p w:rsidR="003844FD" w:rsidRPr="003844FD" w:rsidRDefault="003844FD" w:rsidP="003844FD">
      <w:pPr>
        <w:jc w:val="center"/>
        <w:rPr>
          <w:rFonts w:asciiTheme="majorHAnsi" w:hAnsiTheme="majorHAnsi"/>
          <w:b/>
          <w:u w:val="single"/>
        </w:rPr>
      </w:pPr>
      <w:r w:rsidRPr="003844FD">
        <w:rPr>
          <w:rFonts w:asciiTheme="majorHAnsi" w:hAnsiTheme="majorHAnsi"/>
          <w:b/>
          <w:u w:val="single"/>
        </w:rPr>
        <w:t>AL 31 DE DICIEMBRE DE 2018 Y 2017</w:t>
      </w:r>
    </w:p>
    <w:p w:rsidR="003844FD" w:rsidRPr="003844FD" w:rsidRDefault="003844FD" w:rsidP="003844FD">
      <w:pPr>
        <w:jc w:val="center"/>
        <w:rPr>
          <w:rFonts w:asciiTheme="majorHAnsi" w:hAnsiTheme="majorHAnsi"/>
          <w:b/>
        </w:rPr>
      </w:pPr>
    </w:p>
    <w:p w:rsidR="003844FD" w:rsidRPr="003844FD" w:rsidRDefault="003844FD" w:rsidP="003844FD">
      <w:pPr>
        <w:jc w:val="center"/>
        <w:rPr>
          <w:rFonts w:asciiTheme="majorHAnsi" w:hAnsiTheme="majorHAnsi"/>
        </w:rPr>
      </w:pPr>
      <w:r w:rsidRPr="003844FD">
        <w:rPr>
          <w:rFonts w:asciiTheme="majorHAnsi" w:hAnsiTheme="majorHAnsi"/>
        </w:rPr>
        <w:t>(Expresado en Bolívares Soberanos nominales)</w:t>
      </w:r>
    </w:p>
    <w:p w:rsidR="003844FD" w:rsidRPr="003844FD" w:rsidRDefault="003844FD" w:rsidP="003844FD">
      <w:pPr>
        <w:jc w:val="center"/>
        <w:rPr>
          <w:rFonts w:asciiTheme="majorHAnsi" w:hAnsiTheme="majorHAnsi"/>
        </w:rPr>
      </w:pPr>
    </w:p>
    <w:tbl>
      <w:tblPr>
        <w:tblW w:w="5000" w:type="pct"/>
        <w:jc w:val="center"/>
        <w:tblCellMar>
          <w:left w:w="70" w:type="dxa"/>
          <w:right w:w="70" w:type="dxa"/>
        </w:tblCellMar>
        <w:tblLook w:val="04A0" w:firstRow="1" w:lastRow="0" w:firstColumn="1" w:lastColumn="0" w:noHBand="0" w:noVBand="1"/>
      </w:tblPr>
      <w:tblGrid>
        <w:gridCol w:w="5525"/>
        <w:gridCol w:w="1727"/>
        <w:gridCol w:w="1726"/>
      </w:tblGrid>
      <w:tr w:rsidR="003844FD" w:rsidRPr="003844FD" w:rsidTr="003E6B45">
        <w:trPr>
          <w:trHeight w:val="20"/>
          <w:jc w:val="center"/>
        </w:trPr>
        <w:tc>
          <w:tcPr>
            <w:tcW w:w="3077" w:type="pct"/>
            <w:tcBorders>
              <w:top w:val="nil"/>
              <w:left w:val="nil"/>
              <w:bottom w:val="single" w:sz="8" w:space="0" w:color="auto"/>
              <w:right w:val="nil"/>
            </w:tcBorders>
            <w:shd w:val="clear" w:color="auto" w:fill="auto"/>
            <w:noWrap/>
            <w:vAlign w:val="bottom"/>
            <w:hideMark/>
          </w:tcPr>
          <w:p w:rsidR="003844FD" w:rsidRPr="003844FD" w:rsidRDefault="003844FD" w:rsidP="003E6B45">
            <w:pPr>
              <w:spacing w:before="240" w:after="240"/>
              <w:contextualSpacing/>
              <w:jc w:val="center"/>
              <w:rPr>
                <w:rFonts w:asciiTheme="majorHAnsi" w:hAnsiTheme="majorHAnsi" w:cstheme="minorHAnsi"/>
                <w:lang w:eastAsia="es-VE"/>
              </w:rPr>
            </w:pPr>
          </w:p>
        </w:tc>
        <w:tc>
          <w:tcPr>
            <w:tcW w:w="962" w:type="pct"/>
            <w:tcBorders>
              <w:top w:val="nil"/>
              <w:left w:val="nil"/>
              <w:bottom w:val="single" w:sz="8" w:space="0" w:color="auto"/>
              <w:right w:val="nil"/>
            </w:tcBorders>
            <w:shd w:val="clear" w:color="auto" w:fill="auto"/>
            <w:vAlign w:val="bottom"/>
            <w:hideMark/>
          </w:tcPr>
          <w:p w:rsidR="003844FD" w:rsidRPr="003844FD" w:rsidRDefault="003844FD" w:rsidP="003E6B45">
            <w:pPr>
              <w:spacing w:before="240" w:after="240"/>
              <w:contextualSpacing/>
              <w:jc w:val="center"/>
              <w:rPr>
                <w:rFonts w:asciiTheme="majorHAnsi" w:hAnsiTheme="majorHAnsi" w:cstheme="minorHAnsi"/>
                <w:b/>
                <w:lang w:eastAsia="es-VE"/>
              </w:rPr>
            </w:pPr>
            <w:r w:rsidRPr="003844FD">
              <w:rPr>
                <w:rFonts w:asciiTheme="majorHAnsi" w:hAnsiTheme="majorHAnsi" w:cstheme="minorHAnsi"/>
                <w:b/>
                <w:lang w:eastAsia="es-VE"/>
              </w:rPr>
              <w:t>2018</w:t>
            </w:r>
          </w:p>
        </w:tc>
        <w:tc>
          <w:tcPr>
            <w:tcW w:w="961" w:type="pct"/>
            <w:tcBorders>
              <w:top w:val="nil"/>
              <w:left w:val="nil"/>
              <w:bottom w:val="single" w:sz="8" w:space="0" w:color="auto"/>
              <w:right w:val="nil"/>
            </w:tcBorders>
            <w:shd w:val="clear" w:color="auto" w:fill="auto"/>
            <w:vAlign w:val="bottom"/>
            <w:hideMark/>
          </w:tcPr>
          <w:p w:rsidR="003844FD" w:rsidRPr="003844FD" w:rsidRDefault="003844FD" w:rsidP="003E6B45">
            <w:pPr>
              <w:spacing w:before="240" w:after="240"/>
              <w:contextualSpacing/>
              <w:jc w:val="center"/>
              <w:rPr>
                <w:rFonts w:asciiTheme="majorHAnsi" w:hAnsiTheme="majorHAnsi" w:cstheme="minorHAnsi"/>
                <w:b/>
                <w:lang w:eastAsia="es-VE"/>
              </w:rPr>
            </w:pPr>
            <w:r w:rsidRPr="003844FD">
              <w:rPr>
                <w:rFonts w:asciiTheme="majorHAnsi" w:hAnsiTheme="majorHAnsi" w:cstheme="minorHAnsi"/>
                <w:b/>
                <w:lang w:eastAsia="es-VE"/>
              </w:rPr>
              <w:t>2017</w:t>
            </w:r>
          </w:p>
        </w:tc>
      </w:tr>
      <w:tr w:rsidR="003844FD" w:rsidRPr="003844FD" w:rsidTr="003E6B45">
        <w:trPr>
          <w:trHeight w:val="20"/>
          <w:jc w:val="center"/>
        </w:trPr>
        <w:tc>
          <w:tcPr>
            <w:tcW w:w="3077" w:type="pct"/>
            <w:tcBorders>
              <w:top w:val="nil"/>
              <w:left w:val="nil"/>
              <w:bottom w:val="single" w:sz="8" w:space="0" w:color="auto"/>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b/>
                <w:bCs/>
                <w:color w:val="000000"/>
                <w:lang w:eastAsia="es-VE"/>
              </w:rPr>
            </w:pPr>
          </w:p>
        </w:tc>
        <w:tc>
          <w:tcPr>
            <w:tcW w:w="962" w:type="pct"/>
            <w:tcBorders>
              <w:top w:val="nil"/>
              <w:left w:val="nil"/>
              <w:bottom w:val="single" w:sz="8" w:space="0" w:color="auto"/>
              <w:right w:val="nil"/>
            </w:tcBorders>
            <w:shd w:val="clear" w:color="auto" w:fill="auto"/>
            <w:vAlign w:val="bottom"/>
            <w:hideMark/>
          </w:tcPr>
          <w:p w:rsidR="003844FD" w:rsidRPr="003844FD" w:rsidRDefault="003844FD" w:rsidP="003E6B45">
            <w:pPr>
              <w:spacing w:before="240" w:after="240"/>
              <w:contextualSpacing/>
              <w:jc w:val="center"/>
              <w:rPr>
                <w:rFonts w:asciiTheme="majorHAnsi" w:hAnsiTheme="majorHAnsi" w:cstheme="minorHAnsi"/>
                <w:b/>
                <w:bCs/>
                <w:i/>
                <w:iCs/>
                <w:lang w:eastAsia="es-VE"/>
              </w:rPr>
            </w:pPr>
          </w:p>
        </w:tc>
        <w:tc>
          <w:tcPr>
            <w:tcW w:w="961" w:type="pct"/>
            <w:tcBorders>
              <w:top w:val="nil"/>
              <w:left w:val="nil"/>
              <w:bottom w:val="single" w:sz="8" w:space="0" w:color="auto"/>
              <w:right w:val="nil"/>
            </w:tcBorders>
            <w:shd w:val="clear" w:color="auto" w:fill="auto"/>
            <w:vAlign w:val="bottom"/>
            <w:hideMark/>
          </w:tcPr>
          <w:p w:rsidR="003844FD" w:rsidRPr="003844FD" w:rsidRDefault="003844FD" w:rsidP="003E6B45">
            <w:pPr>
              <w:spacing w:before="240" w:after="240"/>
              <w:contextualSpacing/>
              <w:jc w:val="center"/>
              <w:rPr>
                <w:rFonts w:asciiTheme="majorHAnsi" w:hAnsiTheme="majorHAnsi" w:cstheme="minorHAnsi"/>
                <w:b/>
                <w:bCs/>
                <w:i/>
                <w:iCs/>
                <w:lang w:eastAsia="es-VE"/>
              </w:rPr>
            </w:pPr>
          </w:p>
        </w:tc>
      </w:tr>
      <w:tr w:rsidR="003844FD" w:rsidRPr="003844FD" w:rsidTr="003E6B45">
        <w:trPr>
          <w:trHeight w:val="20"/>
          <w:jc w:val="center"/>
        </w:trPr>
        <w:tc>
          <w:tcPr>
            <w:tcW w:w="3077" w:type="pct"/>
            <w:tcBorders>
              <w:top w:val="nil"/>
              <w:left w:val="nil"/>
              <w:bottom w:val="single" w:sz="8" w:space="0" w:color="auto"/>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ACTIVOS</w:t>
            </w:r>
          </w:p>
        </w:tc>
        <w:tc>
          <w:tcPr>
            <w:tcW w:w="962" w:type="pct"/>
            <w:tcBorders>
              <w:top w:val="nil"/>
              <w:left w:val="nil"/>
              <w:bottom w:val="single" w:sz="8" w:space="0" w:color="auto"/>
              <w:right w:val="nil"/>
            </w:tcBorders>
            <w:shd w:val="clear" w:color="auto" w:fill="auto"/>
            <w:vAlign w:val="bottom"/>
            <w:hideMark/>
          </w:tcPr>
          <w:p w:rsidR="003844FD" w:rsidRPr="003844FD" w:rsidRDefault="003844FD" w:rsidP="003E6B45">
            <w:pPr>
              <w:spacing w:before="240" w:after="240"/>
              <w:contextualSpacing/>
              <w:jc w:val="center"/>
              <w:rPr>
                <w:rFonts w:asciiTheme="majorHAnsi" w:hAnsiTheme="majorHAnsi" w:cstheme="minorHAnsi"/>
                <w:b/>
                <w:bCs/>
                <w:i/>
                <w:iCs/>
                <w:lang w:eastAsia="es-VE"/>
              </w:rPr>
            </w:pPr>
            <w:r w:rsidRPr="003844FD">
              <w:rPr>
                <w:rFonts w:asciiTheme="majorHAnsi" w:hAnsiTheme="majorHAnsi" w:cstheme="minorHAnsi"/>
                <w:b/>
                <w:bCs/>
                <w:i/>
                <w:iCs/>
                <w:lang w:eastAsia="es-VE"/>
              </w:rPr>
              <w:t> </w:t>
            </w:r>
          </w:p>
        </w:tc>
        <w:tc>
          <w:tcPr>
            <w:tcW w:w="961" w:type="pct"/>
            <w:tcBorders>
              <w:top w:val="nil"/>
              <w:left w:val="nil"/>
              <w:bottom w:val="single" w:sz="8" w:space="0" w:color="auto"/>
              <w:right w:val="nil"/>
            </w:tcBorders>
            <w:shd w:val="clear" w:color="auto" w:fill="auto"/>
            <w:vAlign w:val="bottom"/>
            <w:hideMark/>
          </w:tcPr>
          <w:p w:rsidR="003844FD" w:rsidRPr="003844FD" w:rsidRDefault="003844FD" w:rsidP="003E6B45">
            <w:pPr>
              <w:spacing w:before="240" w:after="240"/>
              <w:contextualSpacing/>
              <w:jc w:val="center"/>
              <w:rPr>
                <w:rFonts w:asciiTheme="majorHAnsi" w:hAnsiTheme="majorHAnsi" w:cstheme="minorHAnsi"/>
                <w:b/>
                <w:bCs/>
                <w:i/>
                <w:iCs/>
                <w:lang w:eastAsia="es-VE"/>
              </w:rPr>
            </w:pPr>
            <w:r w:rsidRPr="003844FD">
              <w:rPr>
                <w:rFonts w:asciiTheme="majorHAnsi" w:hAnsiTheme="majorHAnsi" w:cstheme="minorHAnsi"/>
                <w:b/>
                <w:bCs/>
                <w:i/>
                <w:iCs/>
                <w:lang w:eastAsia="es-VE"/>
              </w:rPr>
              <w:t> </w:t>
            </w:r>
          </w:p>
        </w:tc>
      </w:tr>
      <w:tr w:rsidR="003844FD" w:rsidRPr="003844FD" w:rsidTr="003E6B45">
        <w:trPr>
          <w:trHeight w:val="20"/>
          <w:jc w:val="center"/>
        </w:trPr>
        <w:tc>
          <w:tcPr>
            <w:tcW w:w="3077" w:type="pct"/>
            <w:tcBorders>
              <w:top w:val="nil"/>
              <w:left w:val="nil"/>
              <w:bottom w:val="nil"/>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Activos corrientes</w:t>
            </w:r>
          </w:p>
        </w:tc>
        <w:tc>
          <w:tcPr>
            <w:tcW w:w="962" w:type="pct"/>
            <w:tcBorders>
              <w:top w:val="nil"/>
              <w:left w:val="nil"/>
              <w:bottom w:val="nil"/>
              <w:right w:val="nil"/>
            </w:tcBorders>
            <w:shd w:val="clear" w:color="auto" w:fill="auto"/>
            <w:vAlign w:val="bottom"/>
            <w:hideMark/>
          </w:tcPr>
          <w:p w:rsidR="003844FD" w:rsidRPr="003844FD" w:rsidRDefault="003844FD" w:rsidP="003E6B45">
            <w:pPr>
              <w:spacing w:before="240" w:after="240"/>
              <w:contextualSpacing/>
              <w:rPr>
                <w:rFonts w:asciiTheme="majorHAnsi" w:hAnsiTheme="majorHAnsi" w:cstheme="minorHAnsi"/>
                <w:lang w:eastAsia="es-VE"/>
              </w:rPr>
            </w:pPr>
          </w:p>
        </w:tc>
        <w:tc>
          <w:tcPr>
            <w:tcW w:w="961" w:type="pct"/>
            <w:tcBorders>
              <w:top w:val="nil"/>
              <w:left w:val="nil"/>
              <w:bottom w:val="nil"/>
              <w:right w:val="nil"/>
            </w:tcBorders>
            <w:shd w:val="clear" w:color="auto" w:fill="auto"/>
            <w:vAlign w:val="bottom"/>
            <w:hideMark/>
          </w:tcPr>
          <w:p w:rsidR="003844FD" w:rsidRPr="003844FD" w:rsidRDefault="003844FD" w:rsidP="003E6B45">
            <w:pPr>
              <w:spacing w:before="240" w:after="240"/>
              <w:contextualSpacing/>
              <w:rPr>
                <w:rFonts w:asciiTheme="majorHAnsi" w:hAnsiTheme="majorHAnsi" w:cstheme="minorHAnsi"/>
                <w:lang w:eastAsia="es-VE"/>
              </w:rPr>
            </w:pPr>
          </w:p>
        </w:tc>
      </w:tr>
      <w:tr w:rsidR="003844FD" w:rsidRPr="003844FD" w:rsidTr="003E6B45">
        <w:trPr>
          <w:trHeight w:val="20"/>
          <w:jc w:val="center"/>
        </w:trPr>
        <w:tc>
          <w:tcPr>
            <w:tcW w:w="3077" w:type="pct"/>
            <w:tcBorders>
              <w:top w:val="nil"/>
              <w:left w:val="nil"/>
              <w:bottom w:val="nil"/>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color w:val="000000"/>
                <w:lang w:eastAsia="es-VE"/>
              </w:rPr>
            </w:pPr>
            <w:r w:rsidRPr="003844FD">
              <w:rPr>
                <w:rFonts w:asciiTheme="majorHAnsi" w:hAnsiTheme="majorHAnsi" w:cstheme="minorHAnsi"/>
                <w:color w:val="000000"/>
                <w:lang w:eastAsia="es-VE"/>
              </w:rPr>
              <w:t>Efectivo y sus equivalentes</w:t>
            </w:r>
          </w:p>
        </w:tc>
        <w:tc>
          <w:tcPr>
            <w:tcW w:w="962"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709.934 </w:t>
            </w:r>
          </w:p>
        </w:tc>
        <w:tc>
          <w:tcPr>
            <w:tcW w:w="961"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424 </w:t>
            </w:r>
          </w:p>
        </w:tc>
      </w:tr>
      <w:tr w:rsidR="003844FD" w:rsidRPr="003844FD" w:rsidTr="003E6B45">
        <w:trPr>
          <w:trHeight w:val="20"/>
          <w:jc w:val="center"/>
        </w:trPr>
        <w:tc>
          <w:tcPr>
            <w:tcW w:w="3077" w:type="pct"/>
            <w:tcBorders>
              <w:top w:val="nil"/>
              <w:left w:val="nil"/>
              <w:bottom w:val="nil"/>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color w:val="000000"/>
                <w:lang w:eastAsia="es-VE"/>
              </w:rPr>
            </w:pPr>
            <w:r w:rsidRPr="003844FD">
              <w:rPr>
                <w:rFonts w:asciiTheme="majorHAnsi" w:hAnsiTheme="majorHAnsi" w:cstheme="minorHAnsi"/>
                <w:color w:val="000000"/>
                <w:lang w:eastAsia="es-VE"/>
              </w:rPr>
              <w:t>Cuentas por cobrar</w:t>
            </w:r>
          </w:p>
        </w:tc>
        <w:tc>
          <w:tcPr>
            <w:tcW w:w="962"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437.286 </w:t>
            </w:r>
          </w:p>
        </w:tc>
        <w:tc>
          <w:tcPr>
            <w:tcW w:w="961"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1.007 </w:t>
            </w:r>
          </w:p>
        </w:tc>
      </w:tr>
      <w:tr w:rsidR="003844FD" w:rsidRPr="003844FD" w:rsidTr="003E6B45">
        <w:trPr>
          <w:trHeight w:val="20"/>
          <w:jc w:val="center"/>
        </w:trPr>
        <w:tc>
          <w:tcPr>
            <w:tcW w:w="3077" w:type="pct"/>
            <w:tcBorders>
              <w:top w:val="nil"/>
              <w:left w:val="nil"/>
              <w:bottom w:val="nil"/>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lang w:eastAsia="es-VE"/>
              </w:rPr>
            </w:pPr>
            <w:r w:rsidRPr="003844FD">
              <w:rPr>
                <w:rFonts w:asciiTheme="majorHAnsi" w:hAnsiTheme="majorHAnsi" w:cstheme="minorHAnsi"/>
                <w:lang w:eastAsia="es-VE"/>
              </w:rPr>
              <w:t>Inventario de mercancía</w:t>
            </w:r>
          </w:p>
        </w:tc>
        <w:tc>
          <w:tcPr>
            <w:tcW w:w="962"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1.175.200 </w:t>
            </w:r>
          </w:p>
        </w:tc>
        <w:tc>
          <w:tcPr>
            <w:tcW w:w="961"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2.271 </w:t>
            </w:r>
          </w:p>
        </w:tc>
      </w:tr>
      <w:tr w:rsidR="003844FD" w:rsidRPr="003844FD" w:rsidTr="003E6B45">
        <w:trPr>
          <w:trHeight w:val="20"/>
          <w:jc w:val="center"/>
        </w:trPr>
        <w:tc>
          <w:tcPr>
            <w:tcW w:w="3077" w:type="pct"/>
            <w:tcBorders>
              <w:top w:val="nil"/>
              <w:left w:val="nil"/>
              <w:bottom w:val="nil"/>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color w:val="000000"/>
                <w:lang w:eastAsia="es-VE"/>
              </w:rPr>
            </w:pPr>
            <w:r w:rsidRPr="003844FD">
              <w:rPr>
                <w:rFonts w:asciiTheme="majorHAnsi" w:hAnsiTheme="majorHAnsi" w:cstheme="minorHAnsi"/>
                <w:color w:val="000000"/>
                <w:lang w:eastAsia="es-VE"/>
              </w:rPr>
              <w:t>Gastos pagados por anticipado</w:t>
            </w:r>
          </w:p>
        </w:tc>
        <w:tc>
          <w:tcPr>
            <w:tcW w:w="962"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9.076 </w:t>
            </w:r>
          </w:p>
        </w:tc>
        <w:tc>
          <w:tcPr>
            <w:tcW w:w="961"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144 </w:t>
            </w:r>
          </w:p>
        </w:tc>
      </w:tr>
      <w:tr w:rsidR="003844FD" w:rsidRPr="003844FD" w:rsidTr="003E6B45">
        <w:trPr>
          <w:trHeight w:val="20"/>
          <w:jc w:val="center"/>
        </w:trPr>
        <w:tc>
          <w:tcPr>
            <w:tcW w:w="3077" w:type="pct"/>
            <w:tcBorders>
              <w:top w:val="single" w:sz="4" w:space="0" w:color="auto"/>
              <w:left w:val="nil"/>
              <w:bottom w:val="single" w:sz="4" w:space="0" w:color="auto"/>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Total activos corrientes</w:t>
            </w:r>
          </w:p>
        </w:tc>
        <w:tc>
          <w:tcPr>
            <w:tcW w:w="962" w:type="pct"/>
            <w:tcBorders>
              <w:top w:val="single" w:sz="4" w:space="0" w:color="auto"/>
              <w:left w:val="nil"/>
              <w:bottom w:val="single" w:sz="4" w:space="0" w:color="auto"/>
              <w:right w:val="nil"/>
            </w:tcBorders>
            <w:shd w:val="clear" w:color="auto" w:fill="auto"/>
            <w:vAlign w:val="center"/>
            <w:hideMark/>
          </w:tcPr>
          <w:p w:rsidR="003844FD" w:rsidRPr="003844FD" w:rsidRDefault="003844FD" w:rsidP="003E6B45">
            <w:pPr>
              <w:spacing w:before="240" w:after="240"/>
              <w:ind w:right="57"/>
              <w:contextualSpacing/>
              <w:jc w:val="right"/>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 xml:space="preserve">     2.331.496 </w:t>
            </w:r>
          </w:p>
        </w:tc>
        <w:tc>
          <w:tcPr>
            <w:tcW w:w="961" w:type="pct"/>
            <w:tcBorders>
              <w:top w:val="single" w:sz="4" w:space="0" w:color="auto"/>
              <w:left w:val="nil"/>
              <w:bottom w:val="single" w:sz="4" w:space="0" w:color="auto"/>
              <w:right w:val="nil"/>
            </w:tcBorders>
            <w:shd w:val="clear" w:color="auto" w:fill="auto"/>
            <w:vAlign w:val="center"/>
            <w:hideMark/>
          </w:tcPr>
          <w:p w:rsidR="003844FD" w:rsidRPr="003844FD" w:rsidRDefault="003844FD" w:rsidP="003E6B45">
            <w:pPr>
              <w:spacing w:before="240" w:after="240"/>
              <w:ind w:right="57"/>
              <w:contextualSpacing/>
              <w:jc w:val="right"/>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 xml:space="preserve">        3.846 </w:t>
            </w:r>
          </w:p>
        </w:tc>
      </w:tr>
      <w:tr w:rsidR="003844FD" w:rsidRPr="003844FD" w:rsidTr="003E6B45">
        <w:trPr>
          <w:trHeight w:val="20"/>
          <w:jc w:val="center"/>
        </w:trPr>
        <w:tc>
          <w:tcPr>
            <w:tcW w:w="3077" w:type="pct"/>
            <w:tcBorders>
              <w:top w:val="nil"/>
              <w:left w:val="nil"/>
              <w:bottom w:val="nil"/>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Activos no corrientes</w:t>
            </w:r>
          </w:p>
        </w:tc>
        <w:tc>
          <w:tcPr>
            <w:tcW w:w="962" w:type="pct"/>
            <w:tcBorders>
              <w:top w:val="nil"/>
              <w:left w:val="nil"/>
              <w:bottom w:val="nil"/>
              <w:right w:val="nil"/>
            </w:tcBorders>
            <w:shd w:val="clear" w:color="auto" w:fill="auto"/>
            <w:vAlign w:val="bottom"/>
            <w:hideMark/>
          </w:tcPr>
          <w:p w:rsidR="003844FD" w:rsidRPr="003844FD" w:rsidRDefault="003844FD" w:rsidP="003E6B45">
            <w:pPr>
              <w:spacing w:before="240" w:after="240"/>
              <w:ind w:right="57"/>
              <w:contextualSpacing/>
              <w:rPr>
                <w:rFonts w:asciiTheme="majorHAnsi" w:hAnsiTheme="majorHAnsi" w:cstheme="minorHAnsi"/>
                <w:b/>
                <w:bCs/>
                <w:i/>
                <w:iCs/>
                <w:u w:val="single"/>
                <w:lang w:eastAsia="es-VE"/>
              </w:rPr>
            </w:pPr>
          </w:p>
        </w:tc>
        <w:tc>
          <w:tcPr>
            <w:tcW w:w="961" w:type="pct"/>
            <w:tcBorders>
              <w:top w:val="nil"/>
              <w:left w:val="nil"/>
              <w:bottom w:val="nil"/>
              <w:right w:val="nil"/>
            </w:tcBorders>
            <w:shd w:val="clear" w:color="auto" w:fill="auto"/>
            <w:vAlign w:val="bottom"/>
            <w:hideMark/>
          </w:tcPr>
          <w:p w:rsidR="003844FD" w:rsidRPr="003844FD" w:rsidRDefault="003844FD" w:rsidP="003E6B45">
            <w:pPr>
              <w:spacing w:before="240" w:after="240"/>
              <w:ind w:right="57"/>
              <w:contextualSpacing/>
              <w:rPr>
                <w:rFonts w:asciiTheme="majorHAnsi" w:hAnsiTheme="majorHAnsi" w:cstheme="minorHAnsi"/>
                <w:lang w:eastAsia="es-VE"/>
              </w:rPr>
            </w:pPr>
          </w:p>
        </w:tc>
      </w:tr>
      <w:tr w:rsidR="003844FD" w:rsidRPr="003844FD" w:rsidTr="003E6B45">
        <w:trPr>
          <w:trHeight w:val="20"/>
          <w:jc w:val="center"/>
        </w:trPr>
        <w:tc>
          <w:tcPr>
            <w:tcW w:w="3077" w:type="pct"/>
            <w:tcBorders>
              <w:top w:val="nil"/>
              <w:left w:val="nil"/>
              <w:bottom w:val="nil"/>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color w:val="000000"/>
                <w:lang w:eastAsia="es-VE"/>
              </w:rPr>
            </w:pPr>
            <w:r w:rsidRPr="003844FD">
              <w:rPr>
                <w:rFonts w:asciiTheme="majorHAnsi" w:hAnsiTheme="majorHAnsi" w:cstheme="minorHAnsi"/>
                <w:color w:val="000000"/>
                <w:lang w:eastAsia="es-VE"/>
              </w:rPr>
              <w:t>Propiedades, mobiliarios y equipos, neto</w:t>
            </w:r>
          </w:p>
        </w:tc>
        <w:tc>
          <w:tcPr>
            <w:tcW w:w="962"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118 </w:t>
            </w:r>
          </w:p>
        </w:tc>
        <w:tc>
          <w:tcPr>
            <w:tcW w:w="961"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144 </w:t>
            </w:r>
          </w:p>
        </w:tc>
      </w:tr>
      <w:tr w:rsidR="003844FD" w:rsidRPr="003844FD" w:rsidTr="003E6B45">
        <w:trPr>
          <w:trHeight w:val="20"/>
          <w:jc w:val="center"/>
        </w:trPr>
        <w:tc>
          <w:tcPr>
            <w:tcW w:w="3077" w:type="pct"/>
            <w:tcBorders>
              <w:top w:val="single" w:sz="4" w:space="0" w:color="auto"/>
              <w:left w:val="nil"/>
              <w:bottom w:val="single" w:sz="4" w:space="0" w:color="auto"/>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Total activos no corriente</w:t>
            </w:r>
          </w:p>
        </w:tc>
        <w:tc>
          <w:tcPr>
            <w:tcW w:w="962" w:type="pct"/>
            <w:tcBorders>
              <w:top w:val="single" w:sz="4" w:space="0" w:color="auto"/>
              <w:left w:val="nil"/>
              <w:bottom w:val="single" w:sz="4" w:space="0" w:color="auto"/>
              <w:right w:val="nil"/>
            </w:tcBorders>
            <w:shd w:val="clear" w:color="auto" w:fill="auto"/>
            <w:vAlign w:val="center"/>
            <w:hideMark/>
          </w:tcPr>
          <w:p w:rsidR="003844FD" w:rsidRPr="003844FD" w:rsidRDefault="003844FD" w:rsidP="003E6B45">
            <w:pPr>
              <w:spacing w:before="240" w:after="240"/>
              <w:ind w:right="57"/>
              <w:contextualSpacing/>
              <w:jc w:val="right"/>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 xml:space="preserve">         118 </w:t>
            </w:r>
          </w:p>
        </w:tc>
        <w:tc>
          <w:tcPr>
            <w:tcW w:w="961" w:type="pct"/>
            <w:tcBorders>
              <w:top w:val="single" w:sz="4" w:space="0" w:color="auto"/>
              <w:left w:val="nil"/>
              <w:bottom w:val="single" w:sz="4" w:space="0" w:color="auto"/>
              <w:right w:val="nil"/>
            </w:tcBorders>
            <w:shd w:val="clear" w:color="auto" w:fill="auto"/>
            <w:vAlign w:val="center"/>
            <w:hideMark/>
          </w:tcPr>
          <w:p w:rsidR="003844FD" w:rsidRPr="003844FD" w:rsidRDefault="003844FD" w:rsidP="003E6B45">
            <w:pPr>
              <w:spacing w:before="240" w:after="240"/>
              <w:ind w:right="57"/>
              <w:contextualSpacing/>
              <w:jc w:val="right"/>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 xml:space="preserve">         144 </w:t>
            </w:r>
          </w:p>
        </w:tc>
      </w:tr>
      <w:tr w:rsidR="003844FD" w:rsidRPr="003844FD" w:rsidTr="003E6B45">
        <w:trPr>
          <w:trHeight w:val="20"/>
          <w:jc w:val="center"/>
        </w:trPr>
        <w:tc>
          <w:tcPr>
            <w:tcW w:w="3077" w:type="pct"/>
            <w:tcBorders>
              <w:top w:val="nil"/>
              <w:left w:val="nil"/>
              <w:bottom w:val="nil"/>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Total activos</w:t>
            </w:r>
          </w:p>
        </w:tc>
        <w:tc>
          <w:tcPr>
            <w:tcW w:w="962" w:type="pct"/>
            <w:tcBorders>
              <w:top w:val="nil"/>
              <w:left w:val="nil"/>
              <w:bottom w:val="single" w:sz="8" w:space="0" w:color="auto"/>
              <w:right w:val="nil"/>
            </w:tcBorders>
            <w:shd w:val="clear" w:color="auto" w:fill="auto"/>
            <w:vAlign w:val="center"/>
            <w:hideMark/>
          </w:tcPr>
          <w:p w:rsidR="003844FD" w:rsidRPr="003844FD" w:rsidRDefault="003844FD" w:rsidP="003E6B45">
            <w:pPr>
              <w:spacing w:before="240" w:after="240"/>
              <w:ind w:right="57"/>
              <w:contextualSpacing/>
              <w:jc w:val="right"/>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 xml:space="preserve">       2.331.614 </w:t>
            </w:r>
          </w:p>
        </w:tc>
        <w:tc>
          <w:tcPr>
            <w:tcW w:w="961" w:type="pct"/>
            <w:tcBorders>
              <w:top w:val="nil"/>
              <w:left w:val="nil"/>
              <w:bottom w:val="single" w:sz="8" w:space="0" w:color="auto"/>
              <w:right w:val="nil"/>
            </w:tcBorders>
            <w:shd w:val="clear" w:color="auto" w:fill="auto"/>
            <w:vAlign w:val="center"/>
            <w:hideMark/>
          </w:tcPr>
          <w:p w:rsidR="003844FD" w:rsidRPr="003844FD" w:rsidRDefault="003844FD" w:rsidP="003E6B45">
            <w:pPr>
              <w:spacing w:before="240" w:after="240"/>
              <w:ind w:right="57"/>
              <w:contextualSpacing/>
              <w:jc w:val="right"/>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 xml:space="preserve">     3.990 </w:t>
            </w:r>
          </w:p>
        </w:tc>
      </w:tr>
      <w:tr w:rsidR="003844FD" w:rsidRPr="003844FD" w:rsidTr="003E6B45">
        <w:trPr>
          <w:trHeight w:val="20"/>
          <w:jc w:val="center"/>
        </w:trPr>
        <w:tc>
          <w:tcPr>
            <w:tcW w:w="3077" w:type="pct"/>
            <w:tcBorders>
              <w:top w:val="nil"/>
              <w:left w:val="nil"/>
              <w:bottom w:val="nil"/>
              <w:right w:val="nil"/>
            </w:tcBorders>
            <w:shd w:val="clear" w:color="auto" w:fill="auto"/>
            <w:noWrap/>
            <w:vAlign w:val="bottom"/>
            <w:hideMark/>
          </w:tcPr>
          <w:p w:rsidR="003844FD" w:rsidRPr="003844FD" w:rsidRDefault="003844FD" w:rsidP="003E6B45">
            <w:pPr>
              <w:spacing w:before="240" w:after="240"/>
              <w:contextualSpacing/>
              <w:rPr>
                <w:rFonts w:asciiTheme="majorHAnsi" w:hAnsiTheme="majorHAnsi" w:cstheme="minorHAnsi"/>
                <w:lang w:eastAsia="es-VE"/>
              </w:rPr>
            </w:pPr>
          </w:p>
        </w:tc>
        <w:tc>
          <w:tcPr>
            <w:tcW w:w="962" w:type="pct"/>
            <w:tcBorders>
              <w:top w:val="nil"/>
              <w:left w:val="nil"/>
              <w:bottom w:val="nil"/>
              <w:right w:val="nil"/>
            </w:tcBorders>
            <w:shd w:val="clear" w:color="auto" w:fill="auto"/>
            <w:vAlign w:val="bottom"/>
            <w:hideMark/>
          </w:tcPr>
          <w:p w:rsidR="003844FD" w:rsidRPr="003844FD" w:rsidRDefault="003844FD" w:rsidP="003E6B45">
            <w:pPr>
              <w:spacing w:before="240" w:after="240"/>
              <w:ind w:right="57"/>
              <w:contextualSpacing/>
              <w:rPr>
                <w:rFonts w:asciiTheme="majorHAnsi" w:hAnsiTheme="majorHAnsi" w:cstheme="minorHAnsi"/>
                <w:lang w:eastAsia="es-VE"/>
              </w:rPr>
            </w:pPr>
          </w:p>
        </w:tc>
        <w:tc>
          <w:tcPr>
            <w:tcW w:w="961" w:type="pct"/>
            <w:tcBorders>
              <w:top w:val="nil"/>
              <w:left w:val="nil"/>
              <w:bottom w:val="nil"/>
              <w:right w:val="nil"/>
            </w:tcBorders>
            <w:shd w:val="clear" w:color="auto" w:fill="auto"/>
            <w:vAlign w:val="bottom"/>
            <w:hideMark/>
          </w:tcPr>
          <w:p w:rsidR="003844FD" w:rsidRPr="003844FD" w:rsidRDefault="003844FD" w:rsidP="003E6B45">
            <w:pPr>
              <w:spacing w:before="240" w:after="240"/>
              <w:ind w:right="57"/>
              <w:contextualSpacing/>
              <w:rPr>
                <w:rFonts w:asciiTheme="majorHAnsi" w:hAnsiTheme="majorHAnsi" w:cstheme="minorHAnsi"/>
                <w:lang w:eastAsia="es-VE"/>
              </w:rPr>
            </w:pPr>
          </w:p>
        </w:tc>
      </w:tr>
      <w:tr w:rsidR="003844FD" w:rsidRPr="003844FD" w:rsidTr="003E6B45">
        <w:trPr>
          <w:trHeight w:val="20"/>
          <w:jc w:val="center"/>
        </w:trPr>
        <w:tc>
          <w:tcPr>
            <w:tcW w:w="3077" w:type="pct"/>
            <w:tcBorders>
              <w:top w:val="nil"/>
              <w:left w:val="nil"/>
              <w:bottom w:val="single" w:sz="8" w:space="0" w:color="auto"/>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b/>
                <w:bCs/>
                <w:lang w:eastAsia="es-VE"/>
              </w:rPr>
            </w:pPr>
            <w:r w:rsidRPr="003844FD">
              <w:rPr>
                <w:rFonts w:asciiTheme="majorHAnsi" w:hAnsiTheme="majorHAnsi" w:cstheme="minorHAnsi"/>
                <w:b/>
                <w:bCs/>
                <w:lang w:eastAsia="es-VE"/>
              </w:rPr>
              <w:t>PASIVOS Y PATRIMONIO</w:t>
            </w:r>
          </w:p>
        </w:tc>
        <w:tc>
          <w:tcPr>
            <w:tcW w:w="962" w:type="pct"/>
            <w:tcBorders>
              <w:top w:val="nil"/>
              <w:left w:val="nil"/>
              <w:bottom w:val="single" w:sz="8" w:space="0" w:color="auto"/>
              <w:right w:val="nil"/>
            </w:tcBorders>
            <w:shd w:val="clear" w:color="auto" w:fill="auto"/>
            <w:vAlign w:val="bottom"/>
            <w:hideMark/>
          </w:tcPr>
          <w:p w:rsidR="003844FD" w:rsidRPr="003844FD" w:rsidRDefault="003844FD" w:rsidP="003E6B45">
            <w:pPr>
              <w:spacing w:before="240" w:after="240"/>
              <w:ind w:right="57"/>
              <w:contextualSpacing/>
              <w:rPr>
                <w:rFonts w:asciiTheme="majorHAnsi" w:hAnsiTheme="majorHAnsi" w:cstheme="minorHAnsi"/>
                <w:lang w:eastAsia="es-VE"/>
              </w:rPr>
            </w:pPr>
            <w:r w:rsidRPr="003844FD">
              <w:rPr>
                <w:rFonts w:asciiTheme="majorHAnsi" w:hAnsiTheme="majorHAnsi" w:cstheme="minorHAnsi"/>
                <w:lang w:eastAsia="es-VE"/>
              </w:rPr>
              <w:t> </w:t>
            </w:r>
          </w:p>
        </w:tc>
        <w:tc>
          <w:tcPr>
            <w:tcW w:w="961" w:type="pct"/>
            <w:tcBorders>
              <w:top w:val="nil"/>
              <w:left w:val="nil"/>
              <w:bottom w:val="single" w:sz="8" w:space="0" w:color="auto"/>
              <w:right w:val="nil"/>
            </w:tcBorders>
            <w:shd w:val="clear" w:color="auto" w:fill="auto"/>
            <w:vAlign w:val="bottom"/>
            <w:hideMark/>
          </w:tcPr>
          <w:p w:rsidR="003844FD" w:rsidRPr="003844FD" w:rsidRDefault="003844FD" w:rsidP="003E6B45">
            <w:pPr>
              <w:spacing w:before="240" w:after="240"/>
              <w:ind w:right="57"/>
              <w:contextualSpacing/>
              <w:rPr>
                <w:rFonts w:asciiTheme="majorHAnsi" w:hAnsiTheme="majorHAnsi" w:cstheme="minorHAnsi"/>
                <w:lang w:eastAsia="es-VE"/>
              </w:rPr>
            </w:pPr>
            <w:r w:rsidRPr="003844FD">
              <w:rPr>
                <w:rFonts w:asciiTheme="majorHAnsi" w:hAnsiTheme="majorHAnsi" w:cstheme="minorHAnsi"/>
                <w:lang w:eastAsia="es-VE"/>
              </w:rPr>
              <w:t> </w:t>
            </w:r>
          </w:p>
        </w:tc>
      </w:tr>
      <w:tr w:rsidR="003844FD" w:rsidRPr="003844FD" w:rsidTr="003E6B45">
        <w:trPr>
          <w:trHeight w:val="20"/>
          <w:jc w:val="center"/>
        </w:trPr>
        <w:tc>
          <w:tcPr>
            <w:tcW w:w="3077" w:type="pct"/>
            <w:tcBorders>
              <w:top w:val="nil"/>
              <w:left w:val="nil"/>
              <w:bottom w:val="nil"/>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Pasivos corrientes</w:t>
            </w:r>
          </w:p>
        </w:tc>
        <w:tc>
          <w:tcPr>
            <w:tcW w:w="962" w:type="pct"/>
            <w:tcBorders>
              <w:top w:val="nil"/>
              <w:left w:val="nil"/>
              <w:bottom w:val="nil"/>
              <w:right w:val="nil"/>
            </w:tcBorders>
            <w:shd w:val="clear" w:color="auto" w:fill="auto"/>
            <w:noWrap/>
            <w:vAlign w:val="bottom"/>
            <w:hideMark/>
          </w:tcPr>
          <w:p w:rsidR="003844FD" w:rsidRPr="003844FD" w:rsidRDefault="003844FD" w:rsidP="003E6B45">
            <w:pPr>
              <w:spacing w:before="240" w:after="240"/>
              <w:ind w:right="57"/>
              <w:contextualSpacing/>
              <w:rPr>
                <w:rFonts w:asciiTheme="majorHAnsi" w:hAnsiTheme="majorHAnsi" w:cstheme="minorHAnsi"/>
                <w:lang w:eastAsia="es-VE"/>
              </w:rPr>
            </w:pPr>
          </w:p>
        </w:tc>
        <w:tc>
          <w:tcPr>
            <w:tcW w:w="961" w:type="pct"/>
            <w:tcBorders>
              <w:top w:val="nil"/>
              <w:left w:val="nil"/>
              <w:bottom w:val="nil"/>
              <w:right w:val="nil"/>
            </w:tcBorders>
            <w:shd w:val="clear" w:color="auto" w:fill="auto"/>
            <w:noWrap/>
            <w:vAlign w:val="bottom"/>
            <w:hideMark/>
          </w:tcPr>
          <w:p w:rsidR="003844FD" w:rsidRPr="003844FD" w:rsidRDefault="003844FD" w:rsidP="003E6B45">
            <w:pPr>
              <w:spacing w:before="240" w:after="240"/>
              <w:ind w:right="57"/>
              <w:contextualSpacing/>
              <w:rPr>
                <w:rFonts w:asciiTheme="majorHAnsi" w:hAnsiTheme="majorHAnsi" w:cstheme="minorHAnsi"/>
                <w:lang w:eastAsia="es-VE"/>
              </w:rPr>
            </w:pPr>
          </w:p>
        </w:tc>
      </w:tr>
      <w:tr w:rsidR="003844FD" w:rsidRPr="003844FD" w:rsidTr="003E6B45">
        <w:trPr>
          <w:trHeight w:val="20"/>
          <w:jc w:val="center"/>
        </w:trPr>
        <w:tc>
          <w:tcPr>
            <w:tcW w:w="3077" w:type="pct"/>
            <w:tcBorders>
              <w:top w:val="nil"/>
              <w:left w:val="nil"/>
              <w:bottom w:val="nil"/>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color w:val="000000"/>
                <w:lang w:eastAsia="es-VE"/>
              </w:rPr>
            </w:pPr>
            <w:r w:rsidRPr="003844FD">
              <w:rPr>
                <w:rFonts w:asciiTheme="majorHAnsi" w:hAnsiTheme="majorHAnsi" w:cstheme="minorHAnsi"/>
                <w:color w:val="000000"/>
                <w:lang w:eastAsia="es-VE"/>
              </w:rPr>
              <w:t>Cuentas por pagar</w:t>
            </w:r>
          </w:p>
        </w:tc>
        <w:tc>
          <w:tcPr>
            <w:tcW w:w="962"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 </w:t>
            </w:r>
          </w:p>
        </w:tc>
        <w:tc>
          <w:tcPr>
            <w:tcW w:w="961"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720 </w:t>
            </w:r>
          </w:p>
        </w:tc>
      </w:tr>
      <w:tr w:rsidR="003844FD" w:rsidRPr="003844FD" w:rsidTr="003E6B45">
        <w:trPr>
          <w:trHeight w:val="20"/>
          <w:jc w:val="center"/>
        </w:trPr>
        <w:tc>
          <w:tcPr>
            <w:tcW w:w="3077" w:type="pct"/>
            <w:tcBorders>
              <w:top w:val="nil"/>
              <w:left w:val="nil"/>
              <w:bottom w:val="nil"/>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color w:val="000000"/>
                <w:lang w:eastAsia="es-VE"/>
              </w:rPr>
            </w:pPr>
            <w:r w:rsidRPr="003844FD">
              <w:rPr>
                <w:rFonts w:asciiTheme="majorHAnsi" w:hAnsiTheme="majorHAnsi" w:cstheme="minorHAnsi"/>
                <w:color w:val="000000"/>
                <w:lang w:eastAsia="es-VE"/>
              </w:rPr>
              <w:t>Gastos acumulados por pagar</w:t>
            </w:r>
          </w:p>
        </w:tc>
        <w:tc>
          <w:tcPr>
            <w:tcW w:w="962" w:type="pct"/>
            <w:tcBorders>
              <w:top w:val="nil"/>
              <w:left w:val="nil"/>
              <w:bottom w:val="nil"/>
              <w:right w:val="nil"/>
            </w:tcBorders>
            <w:shd w:val="clear" w:color="auto" w:fill="auto"/>
            <w:noWrap/>
            <w:vAlign w:val="center"/>
            <w:hideMark/>
          </w:tcPr>
          <w:p w:rsidR="003844FD" w:rsidRPr="003844FD" w:rsidRDefault="003844FD" w:rsidP="00073CF1">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w:t>
            </w:r>
            <w:r w:rsidR="00073CF1">
              <w:rPr>
                <w:rFonts w:asciiTheme="majorHAnsi" w:hAnsiTheme="majorHAnsi" w:cstheme="minorHAnsi"/>
                <w:color w:val="000000"/>
                <w:lang w:eastAsia="es-VE"/>
              </w:rPr>
              <w:t>1</w:t>
            </w:r>
            <w:r w:rsidRPr="003844FD">
              <w:rPr>
                <w:rFonts w:asciiTheme="majorHAnsi" w:hAnsiTheme="majorHAnsi" w:cstheme="minorHAnsi"/>
                <w:color w:val="000000"/>
                <w:lang w:eastAsia="es-VE"/>
              </w:rPr>
              <w:t xml:space="preserve">23.736 </w:t>
            </w:r>
          </w:p>
        </w:tc>
        <w:tc>
          <w:tcPr>
            <w:tcW w:w="961"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1.900 </w:t>
            </w:r>
          </w:p>
        </w:tc>
      </w:tr>
      <w:tr w:rsidR="003844FD" w:rsidRPr="003844FD" w:rsidTr="003E6B45">
        <w:trPr>
          <w:trHeight w:val="20"/>
          <w:jc w:val="center"/>
        </w:trPr>
        <w:tc>
          <w:tcPr>
            <w:tcW w:w="3077" w:type="pct"/>
            <w:tcBorders>
              <w:top w:val="nil"/>
              <w:left w:val="nil"/>
              <w:bottom w:val="nil"/>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color w:val="000000"/>
                <w:lang w:eastAsia="es-VE"/>
              </w:rPr>
            </w:pPr>
            <w:r>
              <w:rPr>
                <w:rFonts w:asciiTheme="majorHAnsi" w:hAnsiTheme="majorHAnsi" w:cstheme="minorHAnsi"/>
                <w:color w:val="000000"/>
                <w:lang w:eastAsia="es-VE"/>
              </w:rPr>
              <w:t>ISLR</w:t>
            </w:r>
            <w:r w:rsidRPr="003844FD">
              <w:rPr>
                <w:rFonts w:asciiTheme="majorHAnsi" w:hAnsiTheme="majorHAnsi" w:cstheme="minorHAnsi"/>
                <w:color w:val="000000"/>
                <w:lang w:eastAsia="es-VE"/>
              </w:rPr>
              <w:t xml:space="preserve"> por pagar</w:t>
            </w:r>
          </w:p>
        </w:tc>
        <w:tc>
          <w:tcPr>
            <w:tcW w:w="962"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181.055 </w:t>
            </w:r>
          </w:p>
        </w:tc>
        <w:tc>
          <w:tcPr>
            <w:tcW w:w="961"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308 </w:t>
            </w:r>
          </w:p>
        </w:tc>
      </w:tr>
      <w:tr w:rsidR="003844FD" w:rsidRPr="003844FD" w:rsidTr="003E6B45">
        <w:trPr>
          <w:trHeight w:val="20"/>
          <w:jc w:val="center"/>
        </w:trPr>
        <w:tc>
          <w:tcPr>
            <w:tcW w:w="3077" w:type="pct"/>
            <w:tcBorders>
              <w:top w:val="single" w:sz="4" w:space="0" w:color="auto"/>
              <w:left w:val="nil"/>
              <w:bottom w:val="single" w:sz="4" w:space="0" w:color="auto"/>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Total pasivos corrientes</w:t>
            </w:r>
          </w:p>
        </w:tc>
        <w:tc>
          <w:tcPr>
            <w:tcW w:w="962" w:type="pct"/>
            <w:tcBorders>
              <w:top w:val="single" w:sz="4" w:space="0" w:color="auto"/>
              <w:left w:val="nil"/>
              <w:bottom w:val="single" w:sz="4" w:space="0" w:color="auto"/>
              <w:right w:val="nil"/>
            </w:tcBorders>
            <w:shd w:val="clear" w:color="auto" w:fill="auto"/>
            <w:vAlign w:val="center"/>
            <w:hideMark/>
          </w:tcPr>
          <w:p w:rsidR="003844FD" w:rsidRPr="003844FD" w:rsidRDefault="003844FD" w:rsidP="00073CF1">
            <w:pPr>
              <w:spacing w:before="240" w:after="240"/>
              <w:ind w:right="57"/>
              <w:contextualSpacing/>
              <w:jc w:val="right"/>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 xml:space="preserve"> </w:t>
            </w:r>
            <w:r w:rsidR="00073CF1">
              <w:rPr>
                <w:rFonts w:asciiTheme="majorHAnsi" w:hAnsiTheme="majorHAnsi" w:cstheme="minorHAnsi"/>
                <w:b/>
                <w:bCs/>
                <w:color w:val="000000"/>
                <w:lang w:eastAsia="es-VE"/>
              </w:rPr>
              <w:t>3</w:t>
            </w:r>
            <w:r w:rsidRPr="003844FD">
              <w:rPr>
                <w:rFonts w:asciiTheme="majorHAnsi" w:hAnsiTheme="majorHAnsi" w:cstheme="minorHAnsi"/>
                <w:b/>
                <w:bCs/>
                <w:color w:val="000000"/>
                <w:lang w:eastAsia="es-VE"/>
              </w:rPr>
              <w:t xml:space="preserve">04.791 </w:t>
            </w:r>
          </w:p>
        </w:tc>
        <w:tc>
          <w:tcPr>
            <w:tcW w:w="961" w:type="pct"/>
            <w:tcBorders>
              <w:top w:val="single" w:sz="4" w:space="0" w:color="auto"/>
              <w:left w:val="nil"/>
              <w:bottom w:val="single" w:sz="4" w:space="0" w:color="auto"/>
              <w:right w:val="nil"/>
            </w:tcBorders>
            <w:shd w:val="clear" w:color="auto" w:fill="auto"/>
            <w:vAlign w:val="center"/>
            <w:hideMark/>
          </w:tcPr>
          <w:p w:rsidR="003844FD" w:rsidRPr="003844FD" w:rsidRDefault="003844FD" w:rsidP="003E6B45">
            <w:pPr>
              <w:spacing w:before="240" w:after="240"/>
              <w:ind w:right="57"/>
              <w:contextualSpacing/>
              <w:jc w:val="right"/>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 xml:space="preserve">   2.928 </w:t>
            </w:r>
          </w:p>
        </w:tc>
      </w:tr>
      <w:tr w:rsidR="003844FD" w:rsidRPr="003844FD" w:rsidTr="003E6B45">
        <w:trPr>
          <w:trHeight w:val="20"/>
          <w:jc w:val="center"/>
        </w:trPr>
        <w:tc>
          <w:tcPr>
            <w:tcW w:w="3077" w:type="pct"/>
            <w:tcBorders>
              <w:top w:val="nil"/>
              <w:left w:val="nil"/>
              <w:bottom w:val="nil"/>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Pasivos no corrientes</w:t>
            </w:r>
          </w:p>
        </w:tc>
        <w:tc>
          <w:tcPr>
            <w:tcW w:w="962" w:type="pct"/>
            <w:tcBorders>
              <w:top w:val="nil"/>
              <w:left w:val="nil"/>
              <w:bottom w:val="nil"/>
              <w:right w:val="nil"/>
            </w:tcBorders>
            <w:shd w:val="clear" w:color="auto" w:fill="auto"/>
            <w:vAlign w:val="bottom"/>
            <w:hideMark/>
          </w:tcPr>
          <w:p w:rsidR="003844FD" w:rsidRPr="003844FD" w:rsidRDefault="003844FD" w:rsidP="003E6B45">
            <w:pPr>
              <w:spacing w:before="240" w:after="240"/>
              <w:ind w:right="57"/>
              <w:contextualSpacing/>
              <w:rPr>
                <w:rFonts w:asciiTheme="majorHAnsi" w:hAnsiTheme="majorHAnsi" w:cstheme="minorHAnsi"/>
                <w:lang w:eastAsia="es-VE"/>
              </w:rPr>
            </w:pPr>
          </w:p>
        </w:tc>
        <w:tc>
          <w:tcPr>
            <w:tcW w:w="961" w:type="pct"/>
            <w:tcBorders>
              <w:top w:val="nil"/>
              <w:left w:val="nil"/>
              <w:bottom w:val="nil"/>
              <w:right w:val="nil"/>
            </w:tcBorders>
            <w:shd w:val="clear" w:color="auto" w:fill="auto"/>
            <w:vAlign w:val="bottom"/>
            <w:hideMark/>
          </w:tcPr>
          <w:p w:rsidR="003844FD" w:rsidRPr="003844FD" w:rsidRDefault="003844FD" w:rsidP="003E6B45">
            <w:pPr>
              <w:spacing w:before="240" w:after="240"/>
              <w:ind w:right="57"/>
              <w:contextualSpacing/>
              <w:rPr>
                <w:rFonts w:asciiTheme="majorHAnsi" w:hAnsiTheme="majorHAnsi" w:cstheme="minorHAnsi"/>
                <w:lang w:eastAsia="es-VE"/>
              </w:rPr>
            </w:pPr>
          </w:p>
        </w:tc>
      </w:tr>
      <w:tr w:rsidR="003844FD" w:rsidRPr="003844FD" w:rsidTr="003E6B45">
        <w:trPr>
          <w:trHeight w:val="20"/>
          <w:jc w:val="center"/>
        </w:trPr>
        <w:tc>
          <w:tcPr>
            <w:tcW w:w="3077" w:type="pct"/>
            <w:tcBorders>
              <w:top w:val="nil"/>
              <w:left w:val="nil"/>
              <w:bottom w:val="nil"/>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color w:val="000000"/>
                <w:lang w:eastAsia="es-VE"/>
              </w:rPr>
            </w:pPr>
            <w:r w:rsidRPr="003844FD">
              <w:rPr>
                <w:rFonts w:asciiTheme="majorHAnsi" w:hAnsiTheme="majorHAnsi" w:cstheme="minorHAnsi"/>
                <w:color w:val="000000"/>
                <w:lang w:eastAsia="es-VE"/>
              </w:rPr>
              <w:t>Acumulación para indemnizaciones laborales, netas</w:t>
            </w:r>
          </w:p>
        </w:tc>
        <w:tc>
          <w:tcPr>
            <w:tcW w:w="962"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169.636 </w:t>
            </w:r>
          </w:p>
        </w:tc>
        <w:tc>
          <w:tcPr>
            <w:tcW w:w="961"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253 </w:t>
            </w:r>
          </w:p>
        </w:tc>
      </w:tr>
      <w:tr w:rsidR="003844FD" w:rsidRPr="003844FD" w:rsidTr="003E6B45">
        <w:trPr>
          <w:trHeight w:val="20"/>
          <w:jc w:val="center"/>
        </w:trPr>
        <w:tc>
          <w:tcPr>
            <w:tcW w:w="3077" w:type="pct"/>
            <w:tcBorders>
              <w:top w:val="nil"/>
              <w:left w:val="nil"/>
              <w:bottom w:val="nil"/>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color w:val="000000"/>
                <w:lang w:eastAsia="es-VE"/>
              </w:rPr>
            </w:pPr>
            <w:r w:rsidRPr="003844FD">
              <w:rPr>
                <w:rFonts w:asciiTheme="majorHAnsi" w:hAnsiTheme="majorHAnsi" w:cstheme="minorHAnsi"/>
                <w:color w:val="000000"/>
                <w:lang w:eastAsia="es-VE"/>
              </w:rPr>
              <w:t>Anticipos recibidos</w:t>
            </w:r>
          </w:p>
        </w:tc>
        <w:tc>
          <w:tcPr>
            <w:tcW w:w="962"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912.858 </w:t>
            </w:r>
          </w:p>
        </w:tc>
        <w:tc>
          <w:tcPr>
            <w:tcW w:w="961"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30 </w:t>
            </w:r>
          </w:p>
        </w:tc>
      </w:tr>
      <w:tr w:rsidR="003844FD" w:rsidRPr="003844FD" w:rsidTr="003E6B45">
        <w:trPr>
          <w:trHeight w:val="20"/>
          <w:jc w:val="center"/>
        </w:trPr>
        <w:tc>
          <w:tcPr>
            <w:tcW w:w="3077" w:type="pct"/>
            <w:tcBorders>
              <w:top w:val="single" w:sz="4" w:space="0" w:color="auto"/>
              <w:left w:val="nil"/>
              <w:bottom w:val="single" w:sz="4" w:space="0" w:color="auto"/>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Total pasivos no corrientes</w:t>
            </w:r>
          </w:p>
        </w:tc>
        <w:tc>
          <w:tcPr>
            <w:tcW w:w="962" w:type="pct"/>
            <w:tcBorders>
              <w:top w:val="single" w:sz="4" w:space="0" w:color="auto"/>
              <w:left w:val="nil"/>
              <w:bottom w:val="single" w:sz="4" w:space="0" w:color="auto"/>
              <w:right w:val="nil"/>
            </w:tcBorders>
            <w:shd w:val="clear" w:color="auto" w:fill="auto"/>
            <w:vAlign w:val="center"/>
            <w:hideMark/>
          </w:tcPr>
          <w:p w:rsidR="003844FD" w:rsidRPr="003844FD" w:rsidRDefault="003844FD" w:rsidP="003E6B45">
            <w:pPr>
              <w:spacing w:before="240" w:after="240"/>
              <w:ind w:right="57"/>
              <w:contextualSpacing/>
              <w:jc w:val="right"/>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 xml:space="preserve">      1.082.494 </w:t>
            </w:r>
          </w:p>
        </w:tc>
        <w:tc>
          <w:tcPr>
            <w:tcW w:w="961" w:type="pct"/>
            <w:tcBorders>
              <w:top w:val="single" w:sz="4" w:space="0" w:color="auto"/>
              <w:left w:val="nil"/>
              <w:bottom w:val="single" w:sz="4" w:space="0" w:color="auto"/>
              <w:right w:val="nil"/>
            </w:tcBorders>
            <w:shd w:val="clear" w:color="auto" w:fill="auto"/>
            <w:vAlign w:val="center"/>
            <w:hideMark/>
          </w:tcPr>
          <w:p w:rsidR="003844FD" w:rsidRPr="003844FD" w:rsidRDefault="003844FD" w:rsidP="003E6B45">
            <w:pPr>
              <w:spacing w:before="240" w:after="240"/>
              <w:ind w:right="57"/>
              <w:contextualSpacing/>
              <w:jc w:val="right"/>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 xml:space="preserve">          283 </w:t>
            </w:r>
          </w:p>
        </w:tc>
      </w:tr>
      <w:tr w:rsidR="003844FD" w:rsidRPr="003844FD" w:rsidTr="003E6B45">
        <w:trPr>
          <w:trHeight w:val="20"/>
          <w:jc w:val="center"/>
        </w:trPr>
        <w:tc>
          <w:tcPr>
            <w:tcW w:w="3077" w:type="pct"/>
            <w:tcBorders>
              <w:top w:val="nil"/>
              <w:left w:val="nil"/>
              <w:bottom w:val="single" w:sz="4" w:space="0" w:color="auto"/>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Total pasivos</w:t>
            </w:r>
          </w:p>
        </w:tc>
        <w:tc>
          <w:tcPr>
            <w:tcW w:w="962" w:type="pct"/>
            <w:tcBorders>
              <w:top w:val="nil"/>
              <w:left w:val="nil"/>
              <w:bottom w:val="single" w:sz="4" w:space="0" w:color="auto"/>
              <w:right w:val="nil"/>
            </w:tcBorders>
            <w:shd w:val="clear" w:color="auto" w:fill="auto"/>
            <w:vAlign w:val="center"/>
            <w:hideMark/>
          </w:tcPr>
          <w:p w:rsidR="003844FD" w:rsidRPr="003844FD" w:rsidRDefault="003844FD" w:rsidP="00073CF1">
            <w:pPr>
              <w:spacing w:before="240" w:after="240"/>
              <w:ind w:right="57"/>
              <w:contextualSpacing/>
              <w:jc w:val="right"/>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 xml:space="preserve">    1.</w:t>
            </w:r>
            <w:r w:rsidR="00073CF1">
              <w:rPr>
                <w:rFonts w:asciiTheme="majorHAnsi" w:hAnsiTheme="majorHAnsi" w:cstheme="minorHAnsi"/>
                <w:b/>
                <w:bCs/>
                <w:color w:val="000000"/>
                <w:lang w:eastAsia="es-VE"/>
              </w:rPr>
              <w:t>3</w:t>
            </w:r>
            <w:r w:rsidRPr="003844FD">
              <w:rPr>
                <w:rFonts w:asciiTheme="majorHAnsi" w:hAnsiTheme="majorHAnsi" w:cstheme="minorHAnsi"/>
                <w:b/>
                <w:bCs/>
                <w:color w:val="000000"/>
                <w:lang w:eastAsia="es-VE"/>
              </w:rPr>
              <w:t xml:space="preserve">87.285 </w:t>
            </w:r>
          </w:p>
        </w:tc>
        <w:tc>
          <w:tcPr>
            <w:tcW w:w="961" w:type="pct"/>
            <w:tcBorders>
              <w:top w:val="nil"/>
              <w:left w:val="nil"/>
              <w:bottom w:val="single" w:sz="4" w:space="0" w:color="auto"/>
              <w:right w:val="nil"/>
            </w:tcBorders>
            <w:shd w:val="clear" w:color="auto" w:fill="auto"/>
            <w:vAlign w:val="center"/>
            <w:hideMark/>
          </w:tcPr>
          <w:p w:rsidR="003844FD" w:rsidRPr="003844FD" w:rsidRDefault="003844FD" w:rsidP="003E6B45">
            <w:pPr>
              <w:spacing w:before="240" w:after="240"/>
              <w:ind w:right="57"/>
              <w:contextualSpacing/>
              <w:jc w:val="right"/>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 xml:space="preserve">     3.211 </w:t>
            </w:r>
          </w:p>
        </w:tc>
      </w:tr>
      <w:tr w:rsidR="003844FD" w:rsidRPr="003844FD" w:rsidTr="003E6B45">
        <w:trPr>
          <w:trHeight w:val="20"/>
          <w:jc w:val="center"/>
        </w:trPr>
        <w:tc>
          <w:tcPr>
            <w:tcW w:w="3077" w:type="pct"/>
            <w:tcBorders>
              <w:top w:val="nil"/>
              <w:left w:val="nil"/>
              <w:bottom w:val="nil"/>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Patrimonio</w:t>
            </w:r>
          </w:p>
        </w:tc>
        <w:tc>
          <w:tcPr>
            <w:tcW w:w="962" w:type="pct"/>
            <w:tcBorders>
              <w:top w:val="nil"/>
              <w:left w:val="nil"/>
              <w:bottom w:val="nil"/>
              <w:right w:val="nil"/>
            </w:tcBorders>
            <w:shd w:val="clear" w:color="auto" w:fill="auto"/>
            <w:vAlign w:val="bottom"/>
            <w:hideMark/>
          </w:tcPr>
          <w:p w:rsidR="003844FD" w:rsidRPr="003844FD" w:rsidRDefault="003844FD" w:rsidP="003E6B45">
            <w:pPr>
              <w:spacing w:before="240" w:after="240"/>
              <w:ind w:right="57"/>
              <w:contextualSpacing/>
              <w:rPr>
                <w:rFonts w:asciiTheme="majorHAnsi" w:hAnsiTheme="majorHAnsi" w:cstheme="minorHAnsi"/>
                <w:lang w:eastAsia="es-VE"/>
              </w:rPr>
            </w:pPr>
          </w:p>
        </w:tc>
        <w:tc>
          <w:tcPr>
            <w:tcW w:w="961" w:type="pct"/>
            <w:tcBorders>
              <w:top w:val="nil"/>
              <w:left w:val="nil"/>
              <w:bottom w:val="nil"/>
              <w:right w:val="nil"/>
            </w:tcBorders>
            <w:shd w:val="clear" w:color="auto" w:fill="auto"/>
            <w:vAlign w:val="bottom"/>
            <w:hideMark/>
          </w:tcPr>
          <w:p w:rsidR="003844FD" w:rsidRPr="003844FD" w:rsidRDefault="003844FD" w:rsidP="003E6B45">
            <w:pPr>
              <w:spacing w:before="240" w:after="240"/>
              <w:ind w:right="57"/>
              <w:contextualSpacing/>
              <w:rPr>
                <w:rFonts w:asciiTheme="majorHAnsi" w:hAnsiTheme="majorHAnsi" w:cstheme="minorHAnsi"/>
                <w:lang w:eastAsia="es-VE"/>
              </w:rPr>
            </w:pPr>
          </w:p>
        </w:tc>
      </w:tr>
      <w:tr w:rsidR="003844FD" w:rsidRPr="003844FD" w:rsidTr="003E6B45">
        <w:trPr>
          <w:trHeight w:val="20"/>
          <w:jc w:val="center"/>
        </w:trPr>
        <w:tc>
          <w:tcPr>
            <w:tcW w:w="3077" w:type="pct"/>
            <w:tcBorders>
              <w:top w:val="nil"/>
              <w:left w:val="nil"/>
              <w:bottom w:val="nil"/>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color w:val="000000"/>
                <w:lang w:eastAsia="es-VE"/>
              </w:rPr>
            </w:pPr>
            <w:r w:rsidRPr="003844FD">
              <w:rPr>
                <w:rFonts w:asciiTheme="majorHAnsi" w:hAnsiTheme="majorHAnsi" w:cstheme="minorHAnsi"/>
                <w:color w:val="000000"/>
                <w:lang w:eastAsia="es-VE"/>
              </w:rPr>
              <w:t>Capital social nominal</w:t>
            </w:r>
          </w:p>
        </w:tc>
        <w:tc>
          <w:tcPr>
            <w:tcW w:w="962"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752 </w:t>
            </w:r>
          </w:p>
        </w:tc>
        <w:tc>
          <w:tcPr>
            <w:tcW w:w="961"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752 </w:t>
            </w:r>
          </w:p>
        </w:tc>
      </w:tr>
      <w:tr w:rsidR="003844FD" w:rsidRPr="003844FD" w:rsidTr="003E6B45">
        <w:trPr>
          <w:trHeight w:val="20"/>
          <w:jc w:val="center"/>
        </w:trPr>
        <w:tc>
          <w:tcPr>
            <w:tcW w:w="3077" w:type="pct"/>
            <w:tcBorders>
              <w:top w:val="nil"/>
              <w:left w:val="nil"/>
              <w:bottom w:val="nil"/>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color w:val="000000"/>
                <w:lang w:eastAsia="es-VE"/>
              </w:rPr>
            </w:pPr>
            <w:r w:rsidRPr="003844FD">
              <w:rPr>
                <w:rFonts w:asciiTheme="majorHAnsi" w:hAnsiTheme="majorHAnsi" w:cstheme="minorHAnsi"/>
                <w:color w:val="000000"/>
                <w:lang w:eastAsia="es-VE"/>
              </w:rPr>
              <w:t>Reserva legal</w:t>
            </w:r>
          </w:p>
        </w:tc>
        <w:tc>
          <w:tcPr>
            <w:tcW w:w="962"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75 </w:t>
            </w:r>
          </w:p>
        </w:tc>
        <w:tc>
          <w:tcPr>
            <w:tcW w:w="961" w:type="pct"/>
            <w:tcBorders>
              <w:top w:val="nil"/>
              <w:left w:val="nil"/>
              <w:bottom w:val="nil"/>
              <w:right w:val="nil"/>
            </w:tcBorders>
            <w:shd w:val="clear" w:color="auto" w:fill="auto"/>
            <w:noWrap/>
            <w:vAlign w:val="center"/>
            <w:hideMark/>
          </w:tcPr>
          <w:p w:rsidR="003844FD" w:rsidRPr="003844FD" w:rsidRDefault="003844FD" w:rsidP="003E6B45">
            <w:pPr>
              <w:spacing w:before="240" w:after="240"/>
              <w:ind w:right="57"/>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75 </w:t>
            </w:r>
          </w:p>
        </w:tc>
      </w:tr>
      <w:tr w:rsidR="003844FD" w:rsidRPr="003844FD" w:rsidTr="003E6B45">
        <w:trPr>
          <w:trHeight w:val="20"/>
          <w:jc w:val="center"/>
        </w:trPr>
        <w:tc>
          <w:tcPr>
            <w:tcW w:w="3077" w:type="pct"/>
            <w:tcBorders>
              <w:top w:val="nil"/>
              <w:left w:val="nil"/>
              <w:bottom w:val="nil"/>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lang w:eastAsia="es-VE"/>
              </w:rPr>
            </w:pPr>
            <w:r w:rsidRPr="003844FD">
              <w:rPr>
                <w:rFonts w:asciiTheme="majorHAnsi" w:hAnsiTheme="majorHAnsi" w:cstheme="minorHAnsi"/>
                <w:lang w:eastAsia="es-VE"/>
              </w:rPr>
              <w:t>Utilidades no distribuidas</w:t>
            </w:r>
          </w:p>
        </w:tc>
        <w:tc>
          <w:tcPr>
            <w:tcW w:w="962" w:type="pct"/>
            <w:tcBorders>
              <w:top w:val="nil"/>
              <w:left w:val="nil"/>
              <w:bottom w:val="nil"/>
              <w:right w:val="nil"/>
            </w:tcBorders>
            <w:shd w:val="clear" w:color="auto" w:fill="auto"/>
            <w:noWrap/>
            <w:vAlign w:val="center"/>
            <w:hideMark/>
          </w:tcPr>
          <w:p w:rsidR="003844FD" w:rsidRPr="003844FD" w:rsidRDefault="00073CF1" w:rsidP="003E6B45">
            <w:pPr>
              <w:spacing w:before="240" w:after="240"/>
              <w:ind w:right="57"/>
              <w:contextualSpacing/>
              <w:jc w:val="right"/>
              <w:rPr>
                <w:rFonts w:asciiTheme="majorHAnsi" w:hAnsiTheme="majorHAnsi" w:cstheme="minorHAnsi"/>
                <w:color w:val="000000"/>
                <w:lang w:eastAsia="es-VE"/>
              </w:rPr>
            </w:pPr>
            <w:r>
              <w:rPr>
                <w:rFonts w:asciiTheme="majorHAnsi" w:hAnsiTheme="majorHAnsi" w:cstheme="minorHAnsi"/>
                <w:color w:val="000000"/>
                <w:lang w:eastAsia="es-VE"/>
              </w:rPr>
              <w:t>9</w:t>
            </w:r>
            <w:r w:rsidR="003844FD" w:rsidRPr="003844FD">
              <w:rPr>
                <w:rFonts w:asciiTheme="majorHAnsi" w:hAnsiTheme="majorHAnsi" w:cstheme="minorHAnsi"/>
                <w:color w:val="000000"/>
                <w:lang w:eastAsia="es-VE"/>
              </w:rPr>
              <w:t>43.502</w:t>
            </w:r>
          </w:p>
        </w:tc>
        <w:tc>
          <w:tcPr>
            <w:tcW w:w="961" w:type="pct"/>
            <w:tcBorders>
              <w:top w:val="nil"/>
              <w:left w:val="nil"/>
              <w:bottom w:val="nil"/>
              <w:right w:val="nil"/>
            </w:tcBorders>
            <w:shd w:val="clear" w:color="auto" w:fill="auto"/>
            <w:noWrap/>
            <w:vAlign w:val="center"/>
            <w:hideMark/>
          </w:tcPr>
          <w:p w:rsidR="003844FD" w:rsidRPr="003844FD" w:rsidRDefault="003844FD" w:rsidP="003E6B45">
            <w:pPr>
              <w:spacing w:before="240" w:after="240"/>
              <w:contextualSpacing/>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(48)</w:t>
            </w:r>
          </w:p>
        </w:tc>
      </w:tr>
      <w:tr w:rsidR="003844FD" w:rsidRPr="003844FD" w:rsidTr="003E6B45">
        <w:trPr>
          <w:trHeight w:val="20"/>
          <w:jc w:val="center"/>
        </w:trPr>
        <w:tc>
          <w:tcPr>
            <w:tcW w:w="3077" w:type="pct"/>
            <w:tcBorders>
              <w:top w:val="single" w:sz="4" w:space="0" w:color="auto"/>
              <w:left w:val="nil"/>
              <w:bottom w:val="single" w:sz="4" w:space="0" w:color="auto"/>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Total patrimonio</w:t>
            </w:r>
          </w:p>
        </w:tc>
        <w:tc>
          <w:tcPr>
            <w:tcW w:w="962" w:type="pct"/>
            <w:tcBorders>
              <w:top w:val="single" w:sz="4" w:space="0" w:color="auto"/>
              <w:left w:val="nil"/>
              <w:bottom w:val="single" w:sz="4" w:space="0" w:color="auto"/>
              <w:right w:val="nil"/>
            </w:tcBorders>
            <w:shd w:val="clear" w:color="auto" w:fill="auto"/>
            <w:vAlign w:val="center"/>
            <w:hideMark/>
          </w:tcPr>
          <w:p w:rsidR="003844FD" w:rsidRPr="003844FD" w:rsidRDefault="00073CF1" w:rsidP="003E6B45">
            <w:pPr>
              <w:spacing w:before="240" w:after="240"/>
              <w:ind w:right="57"/>
              <w:contextualSpacing/>
              <w:jc w:val="right"/>
              <w:rPr>
                <w:rFonts w:asciiTheme="majorHAnsi" w:hAnsiTheme="majorHAnsi" w:cstheme="minorHAnsi"/>
                <w:b/>
                <w:bCs/>
                <w:color w:val="000000"/>
                <w:lang w:eastAsia="es-VE"/>
              </w:rPr>
            </w:pPr>
            <w:r>
              <w:rPr>
                <w:rFonts w:asciiTheme="majorHAnsi" w:hAnsiTheme="majorHAnsi" w:cstheme="minorHAnsi"/>
                <w:b/>
                <w:bCs/>
                <w:color w:val="000000"/>
                <w:lang w:eastAsia="es-VE"/>
              </w:rPr>
              <w:t>9</w:t>
            </w:r>
            <w:r w:rsidR="003844FD" w:rsidRPr="003844FD">
              <w:rPr>
                <w:rFonts w:asciiTheme="majorHAnsi" w:hAnsiTheme="majorHAnsi" w:cstheme="minorHAnsi"/>
                <w:b/>
                <w:bCs/>
                <w:color w:val="000000"/>
                <w:lang w:eastAsia="es-VE"/>
              </w:rPr>
              <w:t>44.329</w:t>
            </w:r>
          </w:p>
        </w:tc>
        <w:tc>
          <w:tcPr>
            <w:tcW w:w="961" w:type="pct"/>
            <w:tcBorders>
              <w:top w:val="single" w:sz="4" w:space="0" w:color="auto"/>
              <w:left w:val="nil"/>
              <w:bottom w:val="single" w:sz="4" w:space="0" w:color="auto"/>
              <w:right w:val="nil"/>
            </w:tcBorders>
            <w:shd w:val="clear" w:color="auto" w:fill="auto"/>
            <w:vAlign w:val="center"/>
            <w:hideMark/>
          </w:tcPr>
          <w:p w:rsidR="003844FD" w:rsidRPr="003844FD" w:rsidRDefault="003844FD" w:rsidP="003E6B45">
            <w:pPr>
              <w:spacing w:before="240" w:after="240"/>
              <w:ind w:right="57"/>
              <w:contextualSpacing/>
              <w:jc w:val="right"/>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779</w:t>
            </w:r>
          </w:p>
        </w:tc>
      </w:tr>
      <w:tr w:rsidR="003844FD" w:rsidRPr="003844FD" w:rsidTr="003E6B45">
        <w:trPr>
          <w:trHeight w:val="20"/>
          <w:jc w:val="center"/>
        </w:trPr>
        <w:tc>
          <w:tcPr>
            <w:tcW w:w="3077" w:type="pct"/>
            <w:tcBorders>
              <w:top w:val="nil"/>
              <w:left w:val="nil"/>
              <w:bottom w:val="nil"/>
              <w:right w:val="nil"/>
            </w:tcBorders>
            <w:shd w:val="clear" w:color="auto" w:fill="auto"/>
            <w:noWrap/>
            <w:vAlign w:val="center"/>
            <w:hideMark/>
          </w:tcPr>
          <w:p w:rsidR="003844FD" w:rsidRPr="003844FD" w:rsidRDefault="003844FD" w:rsidP="003E6B45">
            <w:pPr>
              <w:spacing w:before="240" w:after="240"/>
              <w:contextualSpacing/>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Total patrimonio y pasivos</w:t>
            </w:r>
          </w:p>
        </w:tc>
        <w:tc>
          <w:tcPr>
            <w:tcW w:w="962" w:type="pct"/>
            <w:tcBorders>
              <w:top w:val="nil"/>
              <w:left w:val="nil"/>
              <w:bottom w:val="single" w:sz="12" w:space="0" w:color="auto"/>
              <w:right w:val="nil"/>
            </w:tcBorders>
            <w:shd w:val="clear" w:color="auto" w:fill="auto"/>
            <w:vAlign w:val="center"/>
            <w:hideMark/>
          </w:tcPr>
          <w:p w:rsidR="003844FD" w:rsidRPr="003844FD" w:rsidRDefault="003844FD" w:rsidP="003E6B45">
            <w:pPr>
              <w:spacing w:before="240" w:after="240"/>
              <w:ind w:right="57"/>
              <w:contextualSpacing/>
              <w:jc w:val="right"/>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2.331.614</w:t>
            </w:r>
          </w:p>
        </w:tc>
        <w:tc>
          <w:tcPr>
            <w:tcW w:w="961" w:type="pct"/>
            <w:tcBorders>
              <w:top w:val="nil"/>
              <w:left w:val="nil"/>
              <w:bottom w:val="single" w:sz="12" w:space="0" w:color="auto"/>
              <w:right w:val="nil"/>
            </w:tcBorders>
            <w:shd w:val="clear" w:color="auto" w:fill="auto"/>
            <w:vAlign w:val="center"/>
            <w:hideMark/>
          </w:tcPr>
          <w:p w:rsidR="003844FD" w:rsidRPr="003844FD" w:rsidRDefault="003844FD" w:rsidP="003E6B45">
            <w:pPr>
              <w:spacing w:before="240" w:after="240"/>
              <w:ind w:right="57"/>
              <w:contextualSpacing/>
              <w:jc w:val="right"/>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 xml:space="preserve">  3.990 </w:t>
            </w:r>
          </w:p>
        </w:tc>
      </w:tr>
    </w:tbl>
    <w:p w:rsidR="003844FD" w:rsidRPr="003844FD" w:rsidRDefault="003844FD" w:rsidP="003844FD">
      <w:pPr>
        <w:rPr>
          <w:rFonts w:asciiTheme="majorHAnsi" w:hAnsiTheme="majorHAnsi"/>
        </w:rPr>
      </w:pPr>
    </w:p>
    <w:p w:rsidR="003844FD" w:rsidRPr="003844FD" w:rsidRDefault="003844FD" w:rsidP="003844FD">
      <w:pPr>
        <w:rPr>
          <w:rFonts w:asciiTheme="majorHAnsi" w:hAnsiTheme="majorHAnsi"/>
        </w:rPr>
      </w:pPr>
    </w:p>
    <w:p w:rsidR="003844FD" w:rsidRPr="003844FD" w:rsidRDefault="003844FD" w:rsidP="003844FD">
      <w:pPr>
        <w:rPr>
          <w:rFonts w:asciiTheme="majorHAnsi" w:hAnsiTheme="majorHAnsi"/>
        </w:rPr>
      </w:pPr>
    </w:p>
    <w:p w:rsidR="003844FD" w:rsidRPr="003844FD" w:rsidRDefault="003844FD" w:rsidP="003844FD">
      <w:pPr>
        <w:rPr>
          <w:rFonts w:asciiTheme="majorHAnsi" w:hAnsiTheme="majorHAnsi"/>
        </w:rPr>
        <w:sectPr w:rsidR="003844FD" w:rsidRPr="003844FD" w:rsidSect="00225A59">
          <w:pgSz w:w="12240" w:h="15840"/>
          <w:pgMar w:top="1417" w:right="1701" w:bottom="1417" w:left="1701" w:header="708" w:footer="708" w:gutter="0"/>
          <w:cols w:space="708"/>
          <w:docGrid w:linePitch="360"/>
        </w:sectPr>
      </w:pPr>
    </w:p>
    <w:p w:rsidR="003844FD" w:rsidRPr="003844FD" w:rsidRDefault="003844FD" w:rsidP="003844FD">
      <w:pPr>
        <w:jc w:val="center"/>
        <w:rPr>
          <w:rFonts w:asciiTheme="majorHAnsi" w:hAnsiTheme="majorHAnsi"/>
          <w:b/>
          <w:u w:val="single"/>
        </w:rPr>
      </w:pPr>
      <w:r w:rsidRPr="003844FD">
        <w:rPr>
          <w:rFonts w:asciiTheme="majorHAnsi" w:hAnsiTheme="majorHAnsi"/>
          <w:b/>
          <w:u w:val="single"/>
        </w:rPr>
        <w:lastRenderedPageBreak/>
        <w:t>FARMACIA Y PERFUMERIA SAN LUIS GONZAGA, C.A.</w:t>
      </w:r>
    </w:p>
    <w:p w:rsidR="003844FD" w:rsidRPr="003844FD" w:rsidRDefault="003844FD" w:rsidP="003844FD">
      <w:pPr>
        <w:jc w:val="center"/>
        <w:rPr>
          <w:rFonts w:asciiTheme="majorHAnsi" w:hAnsiTheme="majorHAnsi"/>
          <w:b/>
          <w:u w:val="single"/>
        </w:rPr>
      </w:pPr>
      <w:r w:rsidRPr="003844FD">
        <w:rPr>
          <w:rFonts w:asciiTheme="majorHAnsi" w:hAnsiTheme="majorHAnsi"/>
          <w:b/>
          <w:u w:val="single"/>
        </w:rPr>
        <w:t>ESTADO DE RESULTADOS</w:t>
      </w:r>
    </w:p>
    <w:p w:rsidR="003844FD" w:rsidRPr="003844FD" w:rsidRDefault="003844FD" w:rsidP="003844FD">
      <w:pPr>
        <w:jc w:val="center"/>
        <w:rPr>
          <w:rFonts w:asciiTheme="majorHAnsi" w:hAnsiTheme="majorHAnsi"/>
          <w:b/>
        </w:rPr>
      </w:pPr>
      <w:r w:rsidRPr="003844FD">
        <w:rPr>
          <w:rFonts w:asciiTheme="majorHAnsi" w:hAnsiTheme="majorHAnsi"/>
          <w:b/>
          <w:u w:val="single"/>
        </w:rPr>
        <w:t>AÑOS FINALIZADOS EL 31 DE DE DICIEMBRE DE 2018 Y 2017</w:t>
      </w:r>
    </w:p>
    <w:p w:rsidR="003844FD" w:rsidRPr="003844FD" w:rsidRDefault="003844FD" w:rsidP="003844FD">
      <w:pPr>
        <w:jc w:val="center"/>
        <w:rPr>
          <w:rFonts w:asciiTheme="majorHAnsi" w:hAnsiTheme="majorHAnsi"/>
        </w:rPr>
      </w:pPr>
    </w:p>
    <w:p w:rsidR="003844FD" w:rsidRPr="003844FD" w:rsidRDefault="003844FD" w:rsidP="003844FD">
      <w:pPr>
        <w:jc w:val="center"/>
        <w:rPr>
          <w:rFonts w:asciiTheme="majorHAnsi" w:hAnsiTheme="majorHAnsi"/>
        </w:rPr>
      </w:pPr>
      <w:r w:rsidRPr="003844FD">
        <w:rPr>
          <w:rFonts w:asciiTheme="majorHAnsi" w:hAnsiTheme="majorHAnsi"/>
        </w:rPr>
        <w:t>(Expresado en Bolívares Soberanos nominales)</w:t>
      </w:r>
    </w:p>
    <w:p w:rsidR="003844FD" w:rsidRPr="003844FD" w:rsidRDefault="003844FD" w:rsidP="003844FD">
      <w:pPr>
        <w:rPr>
          <w:rFonts w:asciiTheme="majorHAnsi" w:hAnsiTheme="majorHAnsi"/>
        </w:rPr>
      </w:pPr>
    </w:p>
    <w:tbl>
      <w:tblPr>
        <w:tblpPr w:leftFromText="141" w:rightFromText="141" w:vertAnchor="page" w:horzAnchor="margin" w:tblpXSpec="center" w:tblpY="3241"/>
        <w:tblW w:w="5000" w:type="pct"/>
        <w:jc w:val="center"/>
        <w:tblCellMar>
          <w:left w:w="70" w:type="dxa"/>
          <w:right w:w="70" w:type="dxa"/>
        </w:tblCellMar>
        <w:tblLook w:val="04A0" w:firstRow="1" w:lastRow="0" w:firstColumn="1" w:lastColumn="0" w:noHBand="0" w:noVBand="1"/>
      </w:tblPr>
      <w:tblGrid>
        <w:gridCol w:w="5565"/>
        <w:gridCol w:w="1781"/>
        <w:gridCol w:w="1632"/>
      </w:tblGrid>
      <w:tr w:rsidR="003844FD" w:rsidRPr="003844FD" w:rsidTr="003E6B45">
        <w:trPr>
          <w:trHeight w:val="20"/>
          <w:jc w:val="center"/>
        </w:trPr>
        <w:tc>
          <w:tcPr>
            <w:tcW w:w="3099" w:type="pct"/>
            <w:tcBorders>
              <w:top w:val="nil"/>
              <w:left w:val="nil"/>
              <w:bottom w:val="single" w:sz="4" w:space="0" w:color="auto"/>
              <w:right w:val="nil"/>
            </w:tcBorders>
            <w:shd w:val="clear" w:color="auto" w:fill="auto"/>
            <w:noWrap/>
            <w:vAlign w:val="bottom"/>
            <w:hideMark/>
          </w:tcPr>
          <w:p w:rsidR="003844FD" w:rsidRPr="003844FD" w:rsidRDefault="003844FD" w:rsidP="003E6B45">
            <w:pPr>
              <w:rPr>
                <w:rFonts w:asciiTheme="majorHAnsi" w:hAnsiTheme="majorHAnsi" w:cstheme="minorHAnsi"/>
                <w:lang w:eastAsia="es-VE"/>
              </w:rPr>
            </w:pPr>
          </w:p>
        </w:tc>
        <w:tc>
          <w:tcPr>
            <w:tcW w:w="992" w:type="pct"/>
            <w:tcBorders>
              <w:top w:val="nil"/>
              <w:left w:val="nil"/>
              <w:bottom w:val="single" w:sz="4" w:space="0" w:color="auto"/>
              <w:right w:val="nil"/>
            </w:tcBorders>
            <w:shd w:val="clear" w:color="auto" w:fill="auto"/>
            <w:vAlign w:val="bottom"/>
            <w:hideMark/>
          </w:tcPr>
          <w:p w:rsidR="003844FD" w:rsidRPr="003844FD" w:rsidRDefault="003844FD" w:rsidP="003E6B45">
            <w:pPr>
              <w:jc w:val="center"/>
              <w:rPr>
                <w:rFonts w:asciiTheme="majorHAnsi" w:hAnsiTheme="majorHAnsi" w:cstheme="minorHAnsi"/>
                <w:b/>
                <w:lang w:eastAsia="es-VE"/>
              </w:rPr>
            </w:pPr>
            <w:r w:rsidRPr="003844FD">
              <w:rPr>
                <w:rFonts w:asciiTheme="majorHAnsi" w:hAnsiTheme="majorHAnsi" w:cstheme="minorHAnsi"/>
                <w:b/>
                <w:lang w:eastAsia="es-VE"/>
              </w:rPr>
              <w:t>2018</w:t>
            </w:r>
          </w:p>
        </w:tc>
        <w:tc>
          <w:tcPr>
            <w:tcW w:w="909" w:type="pct"/>
            <w:tcBorders>
              <w:top w:val="nil"/>
              <w:left w:val="nil"/>
              <w:bottom w:val="single" w:sz="4" w:space="0" w:color="auto"/>
              <w:right w:val="nil"/>
            </w:tcBorders>
            <w:shd w:val="clear" w:color="auto" w:fill="auto"/>
            <w:vAlign w:val="bottom"/>
            <w:hideMark/>
          </w:tcPr>
          <w:p w:rsidR="003844FD" w:rsidRPr="003844FD" w:rsidRDefault="003844FD" w:rsidP="003E6B45">
            <w:pPr>
              <w:jc w:val="center"/>
              <w:rPr>
                <w:rFonts w:asciiTheme="majorHAnsi" w:hAnsiTheme="majorHAnsi" w:cstheme="minorHAnsi"/>
                <w:b/>
                <w:lang w:eastAsia="es-VE"/>
              </w:rPr>
            </w:pPr>
            <w:r w:rsidRPr="003844FD">
              <w:rPr>
                <w:rFonts w:asciiTheme="majorHAnsi" w:hAnsiTheme="majorHAnsi" w:cstheme="minorHAnsi"/>
                <w:b/>
                <w:lang w:eastAsia="es-VE"/>
              </w:rPr>
              <w:t>2017</w:t>
            </w:r>
          </w:p>
        </w:tc>
      </w:tr>
      <w:tr w:rsidR="003844FD" w:rsidRPr="003844FD" w:rsidTr="003E6B45">
        <w:trPr>
          <w:trHeight w:val="20"/>
          <w:jc w:val="center"/>
        </w:trPr>
        <w:tc>
          <w:tcPr>
            <w:tcW w:w="3099" w:type="pct"/>
            <w:tcBorders>
              <w:top w:val="single" w:sz="4" w:space="0" w:color="auto"/>
              <w:left w:val="nil"/>
              <w:bottom w:val="nil"/>
              <w:right w:val="nil"/>
            </w:tcBorders>
            <w:shd w:val="clear" w:color="auto" w:fill="auto"/>
            <w:noWrap/>
            <w:vAlign w:val="bottom"/>
            <w:hideMark/>
          </w:tcPr>
          <w:p w:rsidR="003844FD" w:rsidRPr="003844FD" w:rsidRDefault="003844FD" w:rsidP="003E6B45">
            <w:pPr>
              <w:rPr>
                <w:rFonts w:asciiTheme="majorHAnsi" w:hAnsiTheme="majorHAnsi" w:cstheme="minorHAnsi"/>
                <w:lang w:eastAsia="es-VE"/>
              </w:rPr>
            </w:pPr>
          </w:p>
        </w:tc>
        <w:tc>
          <w:tcPr>
            <w:tcW w:w="992" w:type="pct"/>
            <w:tcBorders>
              <w:top w:val="single" w:sz="4" w:space="0" w:color="auto"/>
              <w:left w:val="nil"/>
              <w:bottom w:val="nil"/>
              <w:right w:val="nil"/>
            </w:tcBorders>
            <w:shd w:val="clear" w:color="auto" w:fill="auto"/>
            <w:vAlign w:val="bottom"/>
            <w:hideMark/>
          </w:tcPr>
          <w:p w:rsidR="003844FD" w:rsidRPr="003844FD" w:rsidRDefault="003844FD" w:rsidP="003E6B45">
            <w:pPr>
              <w:rPr>
                <w:rFonts w:asciiTheme="majorHAnsi" w:hAnsiTheme="majorHAnsi" w:cstheme="minorHAnsi"/>
                <w:lang w:eastAsia="es-VE"/>
              </w:rPr>
            </w:pPr>
          </w:p>
        </w:tc>
        <w:tc>
          <w:tcPr>
            <w:tcW w:w="909" w:type="pct"/>
            <w:tcBorders>
              <w:top w:val="single" w:sz="4" w:space="0" w:color="auto"/>
              <w:left w:val="nil"/>
              <w:bottom w:val="nil"/>
              <w:right w:val="nil"/>
            </w:tcBorders>
            <w:shd w:val="clear" w:color="auto" w:fill="auto"/>
            <w:vAlign w:val="bottom"/>
            <w:hideMark/>
          </w:tcPr>
          <w:p w:rsidR="003844FD" w:rsidRPr="003844FD" w:rsidRDefault="003844FD" w:rsidP="003E6B45">
            <w:pPr>
              <w:rPr>
                <w:rFonts w:asciiTheme="majorHAnsi" w:hAnsiTheme="majorHAnsi" w:cstheme="minorHAnsi"/>
                <w:lang w:eastAsia="es-VE"/>
              </w:rPr>
            </w:pPr>
          </w:p>
        </w:tc>
      </w:tr>
      <w:tr w:rsidR="003844FD" w:rsidRPr="003844FD" w:rsidTr="003E6B45">
        <w:trPr>
          <w:trHeight w:val="20"/>
          <w:jc w:val="center"/>
        </w:trPr>
        <w:tc>
          <w:tcPr>
            <w:tcW w:w="3099" w:type="pct"/>
            <w:tcBorders>
              <w:top w:val="nil"/>
              <w:left w:val="nil"/>
              <w:bottom w:val="nil"/>
              <w:right w:val="nil"/>
            </w:tcBorders>
            <w:shd w:val="clear" w:color="auto" w:fill="auto"/>
            <w:noWrap/>
            <w:vAlign w:val="center"/>
            <w:hideMark/>
          </w:tcPr>
          <w:p w:rsidR="003844FD" w:rsidRPr="003844FD" w:rsidRDefault="003844FD" w:rsidP="003E6B45">
            <w:pPr>
              <w:rPr>
                <w:rFonts w:asciiTheme="majorHAnsi" w:hAnsiTheme="majorHAnsi" w:cstheme="minorHAnsi"/>
                <w:color w:val="000000"/>
                <w:lang w:eastAsia="es-VE"/>
              </w:rPr>
            </w:pPr>
            <w:r w:rsidRPr="003844FD">
              <w:rPr>
                <w:rFonts w:asciiTheme="majorHAnsi" w:hAnsiTheme="majorHAnsi" w:cstheme="minorHAnsi"/>
                <w:color w:val="000000"/>
                <w:lang w:eastAsia="es-VE"/>
              </w:rPr>
              <w:t>Ingresos por ventas</w:t>
            </w:r>
          </w:p>
        </w:tc>
        <w:tc>
          <w:tcPr>
            <w:tcW w:w="992" w:type="pct"/>
            <w:tcBorders>
              <w:top w:val="nil"/>
              <w:left w:val="nil"/>
              <w:bottom w:val="nil"/>
              <w:right w:val="nil"/>
            </w:tcBorders>
            <w:shd w:val="clear" w:color="auto" w:fill="auto"/>
            <w:noWrap/>
            <w:vAlign w:val="center"/>
            <w:hideMark/>
          </w:tcPr>
          <w:p w:rsidR="003844FD" w:rsidRPr="003844FD" w:rsidRDefault="003844FD" w:rsidP="003E6B45">
            <w:pPr>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6.565.728  </w:t>
            </w:r>
          </w:p>
        </w:tc>
        <w:tc>
          <w:tcPr>
            <w:tcW w:w="909" w:type="pct"/>
            <w:tcBorders>
              <w:top w:val="nil"/>
              <w:left w:val="nil"/>
              <w:bottom w:val="nil"/>
              <w:right w:val="nil"/>
            </w:tcBorders>
            <w:shd w:val="clear" w:color="auto" w:fill="auto"/>
            <w:noWrap/>
            <w:vAlign w:val="center"/>
            <w:hideMark/>
          </w:tcPr>
          <w:p w:rsidR="003844FD" w:rsidRPr="003844FD" w:rsidRDefault="003844FD" w:rsidP="003E6B45">
            <w:pPr>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13.720  </w:t>
            </w:r>
          </w:p>
        </w:tc>
      </w:tr>
      <w:tr w:rsidR="003844FD" w:rsidRPr="003844FD" w:rsidTr="003E6B45">
        <w:trPr>
          <w:trHeight w:val="20"/>
          <w:jc w:val="center"/>
        </w:trPr>
        <w:tc>
          <w:tcPr>
            <w:tcW w:w="3099" w:type="pct"/>
            <w:tcBorders>
              <w:top w:val="nil"/>
              <w:left w:val="nil"/>
              <w:bottom w:val="nil"/>
              <w:right w:val="nil"/>
            </w:tcBorders>
            <w:shd w:val="clear" w:color="auto" w:fill="auto"/>
            <w:noWrap/>
            <w:vAlign w:val="center"/>
            <w:hideMark/>
          </w:tcPr>
          <w:p w:rsidR="003844FD" w:rsidRPr="003844FD" w:rsidRDefault="003844FD" w:rsidP="003E6B45">
            <w:pPr>
              <w:rPr>
                <w:rFonts w:asciiTheme="majorHAnsi" w:hAnsiTheme="majorHAnsi" w:cstheme="minorHAnsi"/>
                <w:color w:val="000000"/>
                <w:lang w:eastAsia="es-VE"/>
              </w:rPr>
            </w:pPr>
            <w:r w:rsidRPr="003844FD">
              <w:rPr>
                <w:rFonts w:asciiTheme="majorHAnsi" w:hAnsiTheme="majorHAnsi" w:cstheme="minorHAnsi"/>
                <w:color w:val="000000"/>
                <w:lang w:eastAsia="es-VE"/>
              </w:rPr>
              <w:t>Costo de ventas</w:t>
            </w:r>
          </w:p>
        </w:tc>
        <w:tc>
          <w:tcPr>
            <w:tcW w:w="992" w:type="pct"/>
            <w:tcBorders>
              <w:top w:val="nil"/>
              <w:left w:val="nil"/>
              <w:bottom w:val="nil"/>
              <w:right w:val="nil"/>
            </w:tcBorders>
            <w:shd w:val="clear" w:color="auto" w:fill="auto"/>
            <w:noWrap/>
            <w:vAlign w:val="center"/>
            <w:hideMark/>
          </w:tcPr>
          <w:p w:rsidR="003844FD" w:rsidRPr="003844FD" w:rsidRDefault="003844FD" w:rsidP="003E6B45">
            <w:pPr>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(4.193.818)</w:t>
            </w:r>
          </w:p>
        </w:tc>
        <w:tc>
          <w:tcPr>
            <w:tcW w:w="909" w:type="pct"/>
            <w:tcBorders>
              <w:top w:val="nil"/>
              <w:left w:val="nil"/>
              <w:bottom w:val="nil"/>
              <w:right w:val="nil"/>
            </w:tcBorders>
            <w:shd w:val="clear" w:color="auto" w:fill="auto"/>
            <w:noWrap/>
            <w:vAlign w:val="center"/>
            <w:hideMark/>
          </w:tcPr>
          <w:p w:rsidR="003844FD" w:rsidRPr="003844FD" w:rsidRDefault="003844FD" w:rsidP="003E6B45">
            <w:pPr>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(9.457)</w:t>
            </w:r>
          </w:p>
        </w:tc>
      </w:tr>
      <w:tr w:rsidR="003844FD" w:rsidRPr="003844FD" w:rsidTr="003E6B45">
        <w:trPr>
          <w:trHeight w:val="20"/>
          <w:jc w:val="center"/>
        </w:trPr>
        <w:tc>
          <w:tcPr>
            <w:tcW w:w="3099" w:type="pct"/>
            <w:tcBorders>
              <w:top w:val="single" w:sz="4" w:space="0" w:color="auto"/>
              <w:left w:val="nil"/>
              <w:bottom w:val="single" w:sz="4" w:space="0" w:color="auto"/>
              <w:right w:val="nil"/>
            </w:tcBorders>
            <w:shd w:val="clear" w:color="auto" w:fill="auto"/>
            <w:noWrap/>
            <w:vAlign w:val="center"/>
            <w:hideMark/>
          </w:tcPr>
          <w:p w:rsidR="003844FD" w:rsidRPr="003844FD" w:rsidRDefault="003844FD" w:rsidP="003E6B45">
            <w:pPr>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Utilidad bruta en ventas</w:t>
            </w:r>
          </w:p>
        </w:tc>
        <w:tc>
          <w:tcPr>
            <w:tcW w:w="992" w:type="pct"/>
            <w:tcBorders>
              <w:top w:val="single" w:sz="4" w:space="0" w:color="auto"/>
              <w:left w:val="nil"/>
              <w:bottom w:val="single" w:sz="4" w:space="0" w:color="auto"/>
              <w:right w:val="nil"/>
            </w:tcBorders>
            <w:shd w:val="clear" w:color="auto" w:fill="auto"/>
            <w:noWrap/>
            <w:vAlign w:val="center"/>
            <w:hideMark/>
          </w:tcPr>
          <w:p w:rsidR="003844FD" w:rsidRPr="003844FD" w:rsidRDefault="003844FD" w:rsidP="003E6B45">
            <w:pPr>
              <w:jc w:val="right"/>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 xml:space="preserve">   2.371.910  </w:t>
            </w:r>
          </w:p>
        </w:tc>
        <w:tc>
          <w:tcPr>
            <w:tcW w:w="909" w:type="pct"/>
            <w:tcBorders>
              <w:top w:val="single" w:sz="4" w:space="0" w:color="auto"/>
              <w:left w:val="nil"/>
              <w:bottom w:val="single" w:sz="4" w:space="0" w:color="auto"/>
              <w:right w:val="nil"/>
            </w:tcBorders>
            <w:shd w:val="clear" w:color="auto" w:fill="auto"/>
            <w:noWrap/>
            <w:vAlign w:val="center"/>
            <w:hideMark/>
          </w:tcPr>
          <w:p w:rsidR="003844FD" w:rsidRPr="003844FD" w:rsidRDefault="003844FD" w:rsidP="003E6B45">
            <w:pPr>
              <w:jc w:val="right"/>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 xml:space="preserve">      4.263  </w:t>
            </w:r>
          </w:p>
        </w:tc>
      </w:tr>
      <w:tr w:rsidR="003844FD" w:rsidRPr="003844FD" w:rsidTr="003E6B45">
        <w:trPr>
          <w:trHeight w:val="20"/>
          <w:jc w:val="center"/>
        </w:trPr>
        <w:tc>
          <w:tcPr>
            <w:tcW w:w="3099" w:type="pct"/>
            <w:tcBorders>
              <w:top w:val="nil"/>
              <w:left w:val="nil"/>
              <w:bottom w:val="nil"/>
              <w:right w:val="nil"/>
            </w:tcBorders>
            <w:shd w:val="clear" w:color="auto" w:fill="auto"/>
            <w:noWrap/>
            <w:vAlign w:val="bottom"/>
            <w:hideMark/>
          </w:tcPr>
          <w:p w:rsidR="003844FD" w:rsidRPr="003844FD" w:rsidRDefault="003844FD" w:rsidP="003E6B45">
            <w:pPr>
              <w:rPr>
                <w:rFonts w:asciiTheme="majorHAnsi" w:hAnsiTheme="majorHAnsi" w:cstheme="minorHAnsi"/>
                <w:lang w:eastAsia="es-VE"/>
              </w:rPr>
            </w:pPr>
          </w:p>
        </w:tc>
        <w:tc>
          <w:tcPr>
            <w:tcW w:w="992" w:type="pct"/>
            <w:tcBorders>
              <w:top w:val="nil"/>
              <w:left w:val="nil"/>
              <w:bottom w:val="nil"/>
              <w:right w:val="nil"/>
            </w:tcBorders>
            <w:shd w:val="clear" w:color="auto" w:fill="auto"/>
            <w:noWrap/>
            <w:vAlign w:val="bottom"/>
            <w:hideMark/>
          </w:tcPr>
          <w:p w:rsidR="003844FD" w:rsidRPr="003844FD" w:rsidRDefault="003844FD" w:rsidP="003E6B45">
            <w:pPr>
              <w:rPr>
                <w:rFonts w:asciiTheme="majorHAnsi" w:hAnsiTheme="majorHAnsi" w:cstheme="minorHAnsi"/>
                <w:lang w:eastAsia="es-VE"/>
              </w:rPr>
            </w:pPr>
          </w:p>
        </w:tc>
        <w:tc>
          <w:tcPr>
            <w:tcW w:w="909" w:type="pct"/>
            <w:tcBorders>
              <w:top w:val="nil"/>
              <w:left w:val="nil"/>
              <w:bottom w:val="nil"/>
              <w:right w:val="nil"/>
            </w:tcBorders>
            <w:shd w:val="clear" w:color="auto" w:fill="auto"/>
            <w:noWrap/>
            <w:vAlign w:val="bottom"/>
            <w:hideMark/>
          </w:tcPr>
          <w:p w:rsidR="003844FD" w:rsidRPr="003844FD" w:rsidRDefault="003844FD" w:rsidP="003E6B45">
            <w:pPr>
              <w:rPr>
                <w:rFonts w:asciiTheme="majorHAnsi" w:hAnsiTheme="majorHAnsi" w:cstheme="minorHAnsi"/>
                <w:lang w:eastAsia="es-VE"/>
              </w:rPr>
            </w:pPr>
          </w:p>
        </w:tc>
      </w:tr>
      <w:tr w:rsidR="003844FD" w:rsidRPr="003844FD" w:rsidTr="003E6B45">
        <w:trPr>
          <w:trHeight w:val="20"/>
          <w:jc w:val="center"/>
        </w:trPr>
        <w:tc>
          <w:tcPr>
            <w:tcW w:w="3099" w:type="pct"/>
            <w:tcBorders>
              <w:top w:val="nil"/>
              <w:left w:val="nil"/>
              <w:bottom w:val="single" w:sz="4" w:space="0" w:color="auto"/>
              <w:right w:val="nil"/>
            </w:tcBorders>
            <w:shd w:val="clear" w:color="auto" w:fill="auto"/>
            <w:noWrap/>
            <w:vAlign w:val="center"/>
            <w:hideMark/>
          </w:tcPr>
          <w:p w:rsidR="003844FD" w:rsidRPr="003844FD" w:rsidRDefault="003844FD" w:rsidP="003E6B45">
            <w:pPr>
              <w:rPr>
                <w:rFonts w:asciiTheme="majorHAnsi" w:hAnsiTheme="majorHAnsi" w:cstheme="minorHAnsi"/>
                <w:color w:val="000000"/>
                <w:lang w:eastAsia="es-VE"/>
              </w:rPr>
            </w:pPr>
            <w:r w:rsidRPr="003844FD">
              <w:rPr>
                <w:rFonts w:asciiTheme="majorHAnsi" w:hAnsiTheme="majorHAnsi" w:cstheme="minorHAnsi"/>
                <w:color w:val="000000"/>
                <w:lang w:eastAsia="es-VE"/>
              </w:rPr>
              <w:t>Gastos de administración y operación</w:t>
            </w:r>
          </w:p>
        </w:tc>
        <w:tc>
          <w:tcPr>
            <w:tcW w:w="992" w:type="pct"/>
            <w:tcBorders>
              <w:top w:val="nil"/>
              <w:left w:val="nil"/>
              <w:bottom w:val="single" w:sz="4" w:space="0" w:color="auto"/>
              <w:right w:val="nil"/>
            </w:tcBorders>
            <w:shd w:val="clear" w:color="auto" w:fill="auto"/>
            <w:noWrap/>
            <w:vAlign w:val="center"/>
            <w:hideMark/>
          </w:tcPr>
          <w:p w:rsidR="003844FD" w:rsidRPr="003844FD" w:rsidRDefault="003844FD" w:rsidP="00073CF1">
            <w:pPr>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(1.</w:t>
            </w:r>
            <w:r w:rsidR="00073CF1">
              <w:rPr>
                <w:rFonts w:asciiTheme="majorHAnsi" w:hAnsiTheme="majorHAnsi" w:cstheme="minorHAnsi"/>
                <w:color w:val="000000"/>
                <w:lang w:eastAsia="es-VE"/>
              </w:rPr>
              <w:t>2</w:t>
            </w:r>
            <w:r w:rsidRPr="003844FD">
              <w:rPr>
                <w:rFonts w:asciiTheme="majorHAnsi" w:hAnsiTheme="majorHAnsi" w:cstheme="minorHAnsi"/>
                <w:color w:val="000000"/>
                <w:lang w:eastAsia="es-VE"/>
              </w:rPr>
              <w:t>25.946)</w:t>
            </w:r>
          </w:p>
        </w:tc>
        <w:tc>
          <w:tcPr>
            <w:tcW w:w="909" w:type="pct"/>
            <w:tcBorders>
              <w:top w:val="nil"/>
              <w:left w:val="nil"/>
              <w:bottom w:val="single" w:sz="4" w:space="0" w:color="auto"/>
              <w:right w:val="nil"/>
            </w:tcBorders>
            <w:shd w:val="clear" w:color="auto" w:fill="auto"/>
            <w:noWrap/>
            <w:vAlign w:val="center"/>
            <w:hideMark/>
          </w:tcPr>
          <w:p w:rsidR="003844FD" w:rsidRPr="003844FD" w:rsidRDefault="003844FD" w:rsidP="003E6B45">
            <w:pPr>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(3.379)</w:t>
            </w:r>
          </w:p>
        </w:tc>
      </w:tr>
      <w:tr w:rsidR="003844FD" w:rsidRPr="003844FD" w:rsidTr="003E6B45">
        <w:trPr>
          <w:trHeight w:val="20"/>
          <w:jc w:val="center"/>
        </w:trPr>
        <w:tc>
          <w:tcPr>
            <w:tcW w:w="3099" w:type="pct"/>
            <w:tcBorders>
              <w:top w:val="single" w:sz="4" w:space="0" w:color="auto"/>
              <w:left w:val="nil"/>
              <w:bottom w:val="single" w:sz="4" w:space="0" w:color="auto"/>
              <w:right w:val="nil"/>
            </w:tcBorders>
            <w:shd w:val="clear" w:color="auto" w:fill="auto"/>
            <w:noWrap/>
            <w:vAlign w:val="center"/>
            <w:hideMark/>
          </w:tcPr>
          <w:p w:rsidR="003844FD" w:rsidRPr="003844FD" w:rsidRDefault="003844FD" w:rsidP="003E6B45">
            <w:pPr>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Utilidad en operaciones</w:t>
            </w:r>
          </w:p>
        </w:tc>
        <w:tc>
          <w:tcPr>
            <w:tcW w:w="992" w:type="pct"/>
            <w:tcBorders>
              <w:top w:val="single" w:sz="4" w:space="0" w:color="auto"/>
              <w:left w:val="nil"/>
              <w:bottom w:val="single" w:sz="4" w:space="0" w:color="auto"/>
              <w:right w:val="nil"/>
            </w:tcBorders>
            <w:shd w:val="clear" w:color="auto" w:fill="auto"/>
            <w:noWrap/>
            <w:vAlign w:val="center"/>
            <w:hideMark/>
          </w:tcPr>
          <w:p w:rsidR="003844FD" w:rsidRPr="003844FD" w:rsidRDefault="003844FD" w:rsidP="00073CF1">
            <w:pPr>
              <w:jc w:val="right"/>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 xml:space="preserve">        </w:t>
            </w:r>
            <w:r w:rsidR="00073CF1">
              <w:rPr>
                <w:rFonts w:asciiTheme="majorHAnsi" w:hAnsiTheme="majorHAnsi" w:cstheme="minorHAnsi"/>
                <w:b/>
                <w:bCs/>
                <w:color w:val="000000"/>
                <w:lang w:eastAsia="es-VE"/>
              </w:rPr>
              <w:t>1.1</w:t>
            </w:r>
            <w:r w:rsidRPr="003844FD">
              <w:rPr>
                <w:rFonts w:asciiTheme="majorHAnsi" w:hAnsiTheme="majorHAnsi" w:cstheme="minorHAnsi"/>
                <w:b/>
                <w:bCs/>
                <w:color w:val="000000"/>
                <w:lang w:eastAsia="es-VE"/>
              </w:rPr>
              <w:t xml:space="preserve">45.964  </w:t>
            </w:r>
          </w:p>
        </w:tc>
        <w:tc>
          <w:tcPr>
            <w:tcW w:w="909" w:type="pct"/>
            <w:tcBorders>
              <w:top w:val="single" w:sz="4" w:space="0" w:color="auto"/>
              <w:left w:val="nil"/>
              <w:bottom w:val="single" w:sz="4" w:space="0" w:color="auto"/>
              <w:right w:val="nil"/>
            </w:tcBorders>
            <w:shd w:val="clear" w:color="auto" w:fill="auto"/>
            <w:noWrap/>
            <w:vAlign w:val="center"/>
            <w:hideMark/>
          </w:tcPr>
          <w:p w:rsidR="003844FD" w:rsidRPr="003844FD" w:rsidRDefault="003844FD" w:rsidP="003E6B45">
            <w:pPr>
              <w:jc w:val="right"/>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 xml:space="preserve">     884  </w:t>
            </w:r>
          </w:p>
        </w:tc>
      </w:tr>
      <w:tr w:rsidR="003844FD" w:rsidRPr="003844FD" w:rsidTr="003E6B45">
        <w:trPr>
          <w:trHeight w:val="20"/>
          <w:jc w:val="center"/>
        </w:trPr>
        <w:tc>
          <w:tcPr>
            <w:tcW w:w="3099" w:type="pct"/>
            <w:tcBorders>
              <w:top w:val="nil"/>
              <w:left w:val="nil"/>
              <w:right w:val="nil"/>
            </w:tcBorders>
            <w:shd w:val="clear" w:color="auto" w:fill="auto"/>
            <w:noWrap/>
            <w:vAlign w:val="bottom"/>
            <w:hideMark/>
          </w:tcPr>
          <w:p w:rsidR="003844FD" w:rsidRPr="003844FD" w:rsidRDefault="003844FD" w:rsidP="003E6B45">
            <w:pPr>
              <w:rPr>
                <w:rFonts w:asciiTheme="majorHAnsi" w:hAnsiTheme="majorHAnsi" w:cstheme="minorHAnsi"/>
                <w:lang w:eastAsia="es-VE"/>
              </w:rPr>
            </w:pPr>
          </w:p>
        </w:tc>
        <w:tc>
          <w:tcPr>
            <w:tcW w:w="992" w:type="pct"/>
            <w:tcBorders>
              <w:top w:val="nil"/>
              <w:left w:val="nil"/>
              <w:right w:val="nil"/>
            </w:tcBorders>
            <w:shd w:val="clear" w:color="auto" w:fill="auto"/>
            <w:noWrap/>
            <w:vAlign w:val="bottom"/>
            <w:hideMark/>
          </w:tcPr>
          <w:p w:rsidR="003844FD" w:rsidRPr="003844FD" w:rsidRDefault="003844FD" w:rsidP="003E6B45">
            <w:pPr>
              <w:rPr>
                <w:rFonts w:asciiTheme="majorHAnsi" w:hAnsiTheme="majorHAnsi" w:cstheme="minorHAnsi"/>
                <w:lang w:eastAsia="es-VE"/>
              </w:rPr>
            </w:pPr>
          </w:p>
        </w:tc>
        <w:tc>
          <w:tcPr>
            <w:tcW w:w="909" w:type="pct"/>
            <w:tcBorders>
              <w:top w:val="nil"/>
              <w:left w:val="nil"/>
              <w:right w:val="nil"/>
            </w:tcBorders>
            <w:shd w:val="clear" w:color="auto" w:fill="auto"/>
            <w:noWrap/>
            <w:vAlign w:val="bottom"/>
            <w:hideMark/>
          </w:tcPr>
          <w:p w:rsidR="003844FD" w:rsidRPr="003844FD" w:rsidRDefault="003844FD" w:rsidP="003E6B45">
            <w:pPr>
              <w:rPr>
                <w:rFonts w:asciiTheme="majorHAnsi" w:hAnsiTheme="majorHAnsi" w:cstheme="minorHAnsi"/>
                <w:lang w:eastAsia="es-VE"/>
              </w:rPr>
            </w:pPr>
          </w:p>
        </w:tc>
      </w:tr>
      <w:tr w:rsidR="003844FD" w:rsidRPr="003844FD" w:rsidTr="003E6B45">
        <w:trPr>
          <w:trHeight w:val="20"/>
          <w:jc w:val="center"/>
        </w:trPr>
        <w:tc>
          <w:tcPr>
            <w:tcW w:w="3099" w:type="pct"/>
            <w:tcBorders>
              <w:left w:val="nil"/>
              <w:bottom w:val="single" w:sz="4" w:space="0" w:color="auto"/>
              <w:right w:val="nil"/>
            </w:tcBorders>
            <w:shd w:val="clear" w:color="auto" w:fill="auto"/>
            <w:noWrap/>
            <w:vAlign w:val="center"/>
            <w:hideMark/>
          </w:tcPr>
          <w:p w:rsidR="003844FD" w:rsidRPr="003844FD" w:rsidRDefault="003844FD" w:rsidP="003E6B45">
            <w:pPr>
              <w:rPr>
                <w:rFonts w:asciiTheme="majorHAnsi" w:hAnsiTheme="majorHAnsi" w:cstheme="minorHAnsi"/>
                <w:bCs/>
                <w:color w:val="000000"/>
                <w:lang w:eastAsia="es-VE"/>
              </w:rPr>
            </w:pPr>
            <w:r w:rsidRPr="003844FD">
              <w:rPr>
                <w:rFonts w:asciiTheme="majorHAnsi" w:hAnsiTheme="majorHAnsi" w:cstheme="minorHAnsi"/>
                <w:bCs/>
                <w:color w:val="000000"/>
                <w:lang w:eastAsia="es-VE"/>
              </w:rPr>
              <w:t>Costo integral de financiamiento, neto:</w:t>
            </w:r>
          </w:p>
        </w:tc>
        <w:tc>
          <w:tcPr>
            <w:tcW w:w="992" w:type="pct"/>
            <w:tcBorders>
              <w:left w:val="nil"/>
              <w:bottom w:val="single" w:sz="4" w:space="0" w:color="auto"/>
              <w:right w:val="nil"/>
            </w:tcBorders>
            <w:shd w:val="clear" w:color="auto" w:fill="auto"/>
            <w:noWrap/>
            <w:vAlign w:val="center"/>
            <w:hideMark/>
          </w:tcPr>
          <w:p w:rsidR="003844FD" w:rsidRPr="003844FD" w:rsidRDefault="003844FD" w:rsidP="003E6B45">
            <w:pPr>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3  </w:t>
            </w:r>
          </w:p>
        </w:tc>
        <w:tc>
          <w:tcPr>
            <w:tcW w:w="909" w:type="pct"/>
            <w:tcBorders>
              <w:left w:val="nil"/>
              <w:bottom w:val="single" w:sz="4" w:space="0" w:color="auto"/>
              <w:right w:val="nil"/>
            </w:tcBorders>
            <w:shd w:val="clear" w:color="auto" w:fill="auto"/>
            <w:noWrap/>
            <w:vAlign w:val="center"/>
            <w:hideMark/>
          </w:tcPr>
          <w:p w:rsidR="003844FD" w:rsidRPr="003844FD" w:rsidRDefault="003844FD" w:rsidP="003E6B45">
            <w:pPr>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(155)</w:t>
            </w:r>
          </w:p>
        </w:tc>
      </w:tr>
      <w:tr w:rsidR="003844FD" w:rsidRPr="003844FD" w:rsidTr="003E6B45">
        <w:trPr>
          <w:trHeight w:val="20"/>
          <w:jc w:val="center"/>
        </w:trPr>
        <w:tc>
          <w:tcPr>
            <w:tcW w:w="3099" w:type="pct"/>
            <w:tcBorders>
              <w:top w:val="single" w:sz="4" w:space="0" w:color="auto"/>
              <w:left w:val="nil"/>
              <w:bottom w:val="single" w:sz="4" w:space="0" w:color="auto"/>
              <w:right w:val="nil"/>
            </w:tcBorders>
            <w:shd w:val="clear" w:color="auto" w:fill="auto"/>
            <w:noWrap/>
            <w:vAlign w:val="center"/>
            <w:hideMark/>
          </w:tcPr>
          <w:p w:rsidR="003844FD" w:rsidRPr="003844FD" w:rsidRDefault="003844FD" w:rsidP="003E6B45">
            <w:pPr>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Utilidad antes de impuesto</w:t>
            </w:r>
          </w:p>
        </w:tc>
        <w:tc>
          <w:tcPr>
            <w:tcW w:w="992" w:type="pct"/>
            <w:tcBorders>
              <w:top w:val="single" w:sz="4" w:space="0" w:color="auto"/>
              <w:left w:val="nil"/>
              <w:bottom w:val="single" w:sz="4" w:space="0" w:color="auto"/>
              <w:right w:val="nil"/>
            </w:tcBorders>
            <w:shd w:val="clear" w:color="auto" w:fill="auto"/>
            <w:noWrap/>
            <w:vAlign w:val="center"/>
            <w:hideMark/>
          </w:tcPr>
          <w:p w:rsidR="003844FD" w:rsidRPr="003844FD" w:rsidRDefault="00073CF1" w:rsidP="003E6B45">
            <w:pPr>
              <w:jc w:val="right"/>
              <w:rPr>
                <w:rFonts w:asciiTheme="majorHAnsi" w:hAnsiTheme="majorHAnsi" w:cstheme="minorHAnsi"/>
                <w:b/>
                <w:bCs/>
                <w:color w:val="000000"/>
                <w:lang w:eastAsia="es-VE"/>
              </w:rPr>
            </w:pPr>
            <w:r>
              <w:rPr>
                <w:rFonts w:asciiTheme="majorHAnsi" w:hAnsiTheme="majorHAnsi" w:cstheme="minorHAnsi"/>
                <w:b/>
                <w:bCs/>
                <w:color w:val="000000"/>
                <w:lang w:eastAsia="es-VE"/>
              </w:rPr>
              <w:t>1.145.967</w:t>
            </w:r>
            <w:r w:rsidR="003844FD" w:rsidRPr="003844FD">
              <w:rPr>
                <w:rFonts w:asciiTheme="majorHAnsi" w:hAnsiTheme="majorHAnsi" w:cstheme="minorHAnsi"/>
                <w:b/>
                <w:bCs/>
                <w:color w:val="000000"/>
                <w:lang w:eastAsia="es-VE"/>
              </w:rPr>
              <w:t xml:space="preserve">  </w:t>
            </w:r>
          </w:p>
        </w:tc>
        <w:tc>
          <w:tcPr>
            <w:tcW w:w="909" w:type="pct"/>
            <w:tcBorders>
              <w:top w:val="single" w:sz="4" w:space="0" w:color="auto"/>
              <w:left w:val="nil"/>
              <w:bottom w:val="single" w:sz="4" w:space="0" w:color="auto"/>
              <w:right w:val="nil"/>
            </w:tcBorders>
            <w:shd w:val="clear" w:color="auto" w:fill="auto"/>
            <w:noWrap/>
            <w:vAlign w:val="center"/>
            <w:hideMark/>
          </w:tcPr>
          <w:p w:rsidR="003844FD" w:rsidRPr="003844FD" w:rsidRDefault="003844FD" w:rsidP="003E6B45">
            <w:pPr>
              <w:jc w:val="right"/>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 xml:space="preserve">   729  </w:t>
            </w:r>
          </w:p>
        </w:tc>
      </w:tr>
      <w:tr w:rsidR="003844FD" w:rsidRPr="003844FD" w:rsidTr="003E6B45">
        <w:trPr>
          <w:trHeight w:val="20"/>
          <w:jc w:val="center"/>
        </w:trPr>
        <w:tc>
          <w:tcPr>
            <w:tcW w:w="3099" w:type="pct"/>
            <w:tcBorders>
              <w:top w:val="nil"/>
              <w:left w:val="nil"/>
              <w:bottom w:val="nil"/>
              <w:right w:val="nil"/>
            </w:tcBorders>
            <w:shd w:val="clear" w:color="auto" w:fill="auto"/>
            <w:noWrap/>
            <w:vAlign w:val="bottom"/>
            <w:hideMark/>
          </w:tcPr>
          <w:p w:rsidR="003844FD" w:rsidRPr="003844FD" w:rsidRDefault="003844FD" w:rsidP="003E6B45">
            <w:pPr>
              <w:rPr>
                <w:rFonts w:asciiTheme="majorHAnsi" w:hAnsiTheme="majorHAnsi" w:cstheme="minorHAnsi"/>
                <w:lang w:eastAsia="es-VE"/>
              </w:rPr>
            </w:pPr>
          </w:p>
        </w:tc>
        <w:tc>
          <w:tcPr>
            <w:tcW w:w="992" w:type="pct"/>
            <w:tcBorders>
              <w:top w:val="nil"/>
              <w:left w:val="nil"/>
              <w:bottom w:val="nil"/>
              <w:right w:val="nil"/>
            </w:tcBorders>
            <w:shd w:val="clear" w:color="auto" w:fill="auto"/>
            <w:noWrap/>
            <w:vAlign w:val="bottom"/>
            <w:hideMark/>
          </w:tcPr>
          <w:p w:rsidR="003844FD" w:rsidRPr="003844FD" w:rsidRDefault="003844FD" w:rsidP="003E6B45">
            <w:pPr>
              <w:rPr>
                <w:rFonts w:asciiTheme="majorHAnsi" w:hAnsiTheme="majorHAnsi" w:cstheme="minorHAnsi"/>
                <w:lang w:eastAsia="es-VE"/>
              </w:rPr>
            </w:pPr>
          </w:p>
        </w:tc>
        <w:tc>
          <w:tcPr>
            <w:tcW w:w="909" w:type="pct"/>
            <w:tcBorders>
              <w:top w:val="nil"/>
              <w:left w:val="nil"/>
              <w:bottom w:val="nil"/>
              <w:right w:val="nil"/>
            </w:tcBorders>
            <w:shd w:val="clear" w:color="auto" w:fill="auto"/>
            <w:noWrap/>
            <w:vAlign w:val="bottom"/>
            <w:hideMark/>
          </w:tcPr>
          <w:p w:rsidR="003844FD" w:rsidRPr="003844FD" w:rsidRDefault="003844FD" w:rsidP="003E6B45">
            <w:pPr>
              <w:rPr>
                <w:rFonts w:asciiTheme="majorHAnsi" w:hAnsiTheme="majorHAnsi" w:cstheme="minorHAnsi"/>
                <w:lang w:eastAsia="es-VE"/>
              </w:rPr>
            </w:pPr>
          </w:p>
        </w:tc>
      </w:tr>
      <w:tr w:rsidR="003844FD" w:rsidRPr="003844FD" w:rsidTr="003E6B45">
        <w:trPr>
          <w:trHeight w:val="20"/>
          <w:jc w:val="center"/>
        </w:trPr>
        <w:tc>
          <w:tcPr>
            <w:tcW w:w="3099" w:type="pct"/>
            <w:tcBorders>
              <w:top w:val="nil"/>
              <w:left w:val="nil"/>
              <w:bottom w:val="single" w:sz="4" w:space="0" w:color="auto"/>
              <w:right w:val="nil"/>
            </w:tcBorders>
            <w:shd w:val="clear" w:color="auto" w:fill="auto"/>
            <w:noWrap/>
            <w:vAlign w:val="center"/>
            <w:hideMark/>
          </w:tcPr>
          <w:p w:rsidR="003844FD" w:rsidRPr="003844FD" w:rsidRDefault="003844FD" w:rsidP="003E6B45">
            <w:pPr>
              <w:rPr>
                <w:rFonts w:asciiTheme="majorHAnsi" w:hAnsiTheme="majorHAnsi" w:cstheme="minorHAnsi"/>
                <w:color w:val="000000"/>
                <w:lang w:eastAsia="es-VE"/>
              </w:rPr>
            </w:pPr>
            <w:r w:rsidRPr="003844FD">
              <w:rPr>
                <w:rFonts w:asciiTheme="majorHAnsi" w:hAnsiTheme="majorHAnsi" w:cstheme="minorHAnsi"/>
                <w:color w:val="000000"/>
                <w:lang w:eastAsia="es-VE"/>
              </w:rPr>
              <w:t>Impuesto sobre la renta corriente</w:t>
            </w:r>
          </w:p>
        </w:tc>
        <w:tc>
          <w:tcPr>
            <w:tcW w:w="992" w:type="pct"/>
            <w:tcBorders>
              <w:top w:val="nil"/>
              <w:left w:val="nil"/>
              <w:bottom w:val="nil"/>
              <w:right w:val="nil"/>
            </w:tcBorders>
            <w:shd w:val="clear" w:color="auto" w:fill="auto"/>
            <w:noWrap/>
            <w:vAlign w:val="center"/>
            <w:hideMark/>
          </w:tcPr>
          <w:p w:rsidR="003844FD" w:rsidRPr="003844FD" w:rsidRDefault="003844FD" w:rsidP="003E6B45">
            <w:pPr>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(202.417)</w:t>
            </w:r>
          </w:p>
        </w:tc>
        <w:tc>
          <w:tcPr>
            <w:tcW w:w="909" w:type="pct"/>
            <w:tcBorders>
              <w:top w:val="nil"/>
              <w:left w:val="nil"/>
              <w:bottom w:val="nil"/>
              <w:right w:val="nil"/>
            </w:tcBorders>
            <w:shd w:val="clear" w:color="auto" w:fill="auto"/>
            <w:noWrap/>
            <w:vAlign w:val="center"/>
            <w:hideMark/>
          </w:tcPr>
          <w:p w:rsidR="003844FD" w:rsidRPr="003844FD" w:rsidRDefault="003844FD" w:rsidP="003E6B45">
            <w:pPr>
              <w:jc w:val="right"/>
              <w:rPr>
                <w:rFonts w:asciiTheme="majorHAnsi" w:hAnsiTheme="majorHAnsi" w:cstheme="minorHAnsi"/>
                <w:color w:val="000000"/>
                <w:lang w:eastAsia="es-VE"/>
              </w:rPr>
            </w:pPr>
            <w:r w:rsidRPr="003844FD">
              <w:rPr>
                <w:rFonts w:asciiTheme="majorHAnsi" w:hAnsiTheme="majorHAnsi" w:cstheme="minorHAnsi"/>
                <w:color w:val="000000"/>
                <w:lang w:eastAsia="es-VE"/>
              </w:rPr>
              <w:t xml:space="preserve">     (308)</w:t>
            </w:r>
          </w:p>
        </w:tc>
      </w:tr>
      <w:tr w:rsidR="003844FD" w:rsidRPr="003844FD" w:rsidTr="003E6B45">
        <w:trPr>
          <w:trHeight w:val="20"/>
          <w:jc w:val="center"/>
        </w:trPr>
        <w:tc>
          <w:tcPr>
            <w:tcW w:w="3099" w:type="pct"/>
            <w:tcBorders>
              <w:top w:val="nil"/>
              <w:left w:val="nil"/>
              <w:bottom w:val="nil"/>
              <w:right w:val="nil"/>
            </w:tcBorders>
            <w:shd w:val="clear" w:color="auto" w:fill="auto"/>
            <w:noWrap/>
            <w:vAlign w:val="center"/>
            <w:hideMark/>
          </w:tcPr>
          <w:p w:rsidR="003844FD" w:rsidRPr="003844FD" w:rsidRDefault="003844FD" w:rsidP="003E6B45">
            <w:pPr>
              <w:rPr>
                <w:rFonts w:asciiTheme="majorHAnsi" w:hAnsiTheme="majorHAnsi" w:cstheme="minorHAnsi"/>
                <w:b/>
                <w:color w:val="000000"/>
                <w:lang w:eastAsia="es-VE"/>
              </w:rPr>
            </w:pPr>
            <w:r w:rsidRPr="003844FD">
              <w:rPr>
                <w:rFonts w:asciiTheme="majorHAnsi" w:hAnsiTheme="majorHAnsi" w:cstheme="minorHAnsi"/>
                <w:b/>
                <w:color w:val="000000"/>
                <w:lang w:eastAsia="es-VE"/>
              </w:rPr>
              <w:t>Utilidad neta</w:t>
            </w:r>
          </w:p>
        </w:tc>
        <w:tc>
          <w:tcPr>
            <w:tcW w:w="992" w:type="pct"/>
            <w:tcBorders>
              <w:top w:val="single" w:sz="4" w:space="0" w:color="auto"/>
              <w:left w:val="nil"/>
              <w:bottom w:val="single" w:sz="8" w:space="0" w:color="auto"/>
              <w:right w:val="nil"/>
            </w:tcBorders>
            <w:shd w:val="clear" w:color="auto" w:fill="auto"/>
            <w:noWrap/>
            <w:vAlign w:val="center"/>
            <w:hideMark/>
          </w:tcPr>
          <w:p w:rsidR="003844FD" w:rsidRPr="003844FD" w:rsidRDefault="00073CF1" w:rsidP="003E6B45">
            <w:pPr>
              <w:jc w:val="right"/>
              <w:rPr>
                <w:rFonts w:asciiTheme="majorHAnsi" w:hAnsiTheme="majorHAnsi" w:cstheme="minorHAnsi"/>
                <w:b/>
                <w:bCs/>
                <w:color w:val="000000"/>
                <w:lang w:eastAsia="es-VE"/>
              </w:rPr>
            </w:pPr>
            <w:r>
              <w:rPr>
                <w:rFonts w:asciiTheme="majorHAnsi" w:hAnsiTheme="majorHAnsi" w:cstheme="minorHAnsi"/>
                <w:b/>
                <w:bCs/>
                <w:color w:val="000000"/>
                <w:lang w:eastAsia="es-VE"/>
              </w:rPr>
              <w:t>9</w:t>
            </w:r>
            <w:r w:rsidR="003844FD" w:rsidRPr="003844FD">
              <w:rPr>
                <w:rFonts w:asciiTheme="majorHAnsi" w:hAnsiTheme="majorHAnsi" w:cstheme="minorHAnsi"/>
                <w:b/>
                <w:bCs/>
                <w:color w:val="000000"/>
                <w:lang w:eastAsia="es-VE"/>
              </w:rPr>
              <w:t xml:space="preserve">43.550  </w:t>
            </w:r>
          </w:p>
        </w:tc>
        <w:tc>
          <w:tcPr>
            <w:tcW w:w="909" w:type="pct"/>
            <w:tcBorders>
              <w:top w:val="single" w:sz="4" w:space="0" w:color="auto"/>
              <w:left w:val="nil"/>
              <w:bottom w:val="single" w:sz="8" w:space="0" w:color="auto"/>
              <w:right w:val="nil"/>
            </w:tcBorders>
            <w:shd w:val="clear" w:color="auto" w:fill="auto"/>
            <w:noWrap/>
            <w:vAlign w:val="center"/>
            <w:hideMark/>
          </w:tcPr>
          <w:p w:rsidR="003844FD" w:rsidRPr="003844FD" w:rsidRDefault="003844FD" w:rsidP="003E6B45">
            <w:pPr>
              <w:jc w:val="right"/>
              <w:rPr>
                <w:rFonts w:asciiTheme="majorHAnsi" w:hAnsiTheme="majorHAnsi" w:cstheme="minorHAnsi"/>
                <w:b/>
                <w:bCs/>
                <w:color w:val="000000"/>
                <w:lang w:eastAsia="es-VE"/>
              </w:rPr>
            </w:pPr>
            <w:r w:rsidRPr="003844FD">
              <w:rPr>
                <w:rFonts w:asciiTheme="majorHAnsi" w:hAnsiTheme="majorHAnsi" w:cstheme="minorHAnsi"/>
                <w:b/>
                <w:bCs/>
                <w:color w:val="000000"/>
                <w:lang w:eastAsia="es-VE"/>
              </w:rPr>
              <w:t xml:space="preserve">      421  </w:t>
            </w:r>
          </w:p>
        </w:tc>
      </w:tr>
    </w:tbl>
    <w:p w:rsidR="003844FD" w:rsidRPr="003844FD" w:rsidRDefault="003844FD" w:rsidP="003844FD">
      <w:pPr>
        <w:rPr>
          <w:rFonts w:asciiTheme="majorHAnsi" w:hAnsiTheme="majorHAnsi"/>
        </w:rPr>
      </w:pPr>
    </w:p>
    <w:p w:rsidR="003844FD" w:rsidRPr="003844FD" w:rsidRDefault="003844FD" w:rsidP="003844FD">
      <w:pPr>
        <w:rPr>
          <w:rFonts w:asciiTheme="majorHAnsi" w:hAnsiTheme="majorHAnsi"/>
        </w:rPr>
      </w:pPr>
    </w:p>
    <w:p w:rsidR="003844FD" w:rsidRPr="003844FD" w:rsidRDefault="003844FD" w:rsidP="003844FD">
      <w:pPr>
        <w:rPr>
          <w:rFonts w:asciiTheme="majorHAnsi" w:hAnsiTheme="majorHAnsi"/>
        </w:rPr>
      </w:pPr>
    </w:p>
    <w:p w:rsidR="003844FD" w:rsidRPr="003844FD" w:rsidRDefault="003844FD" w:rsidP="003844FD">
      <w:pPr>
        <w:rPr>
          <w:rFonts w:asciiTheme="majorHAnsi" w:hAnsiTheme="majorHAnsi"/>
        </w:rPr>
      </w:pPr>
    </w:p>
    <w:p w:rsidR="003844FD" w:rsidRPr="003844FD" w:rsidRDefault="003844FD" w:rsidP="003844FD">
      <w:pPr>
        <w:rPr>
          <w:rFonts w:asciiTheme="majorHAnsi" w:hAnsiTheme="majorHAnsi"/>
        </w:rPr>
      </w:pPr>
    </w:p>
    <w:p w:rsidR="003844FD" w:rsidRPr="003844FD" w:rsidRDefault="003844FD" w:rsidP="003844FD">
      <w:pPr>
        <w:rPr>
          <w:rFonts w:asciiTheme="majorHAnsi" w:hAnsiTheme="majorHAnsi"/>
        </w:rPr>
      </w:pPr>
    </w:p>
    <w:p w:rsidR="003844FD" w:rsidRPr="003844FD" w:rsidRDefault="003844FD" w:rsidP="003844FD">
      <w:pPr>
        <w:rPr>
          <w:rFonts w:asciiTheme="majorHAnsi" w:hAnsiTheme="majorHAnsi"/>
        </w:rPr>
        <w:sectPr w:rsidR="003844FD" w:rsidRPr="003844FD" w:rsidSect="00225A59">
          <w:pgSz w:w="12240" w:h="15840"/>
          <w:pgMar w:top="1417" w:right="1701" w:bottom="1417" w:left="1701" w:header="708" w:footer="708" w:gutter="0"/>
          <w:cols w:space="708"/>
          <w:docGrid w:linePitch="360"/>
        </w:sectPr>
      </w:pPr>
    </w:p>
    <w:p w:rsidR="00B10B3C" w:rsidRPr="0040281C" w:rsidRDefault="00B10B3C" w:rsidP="0040281C">
      <w:pPr>
        <w:rPr>
          <w:rFonts w:asciiTheme="majorHAnsi" w:eastAsia="Calibri" w:hAnsiTheme="majorHAnsi" w:cstheme="majorHAnsi"/>
          <w:lang w:val="es-VE" w:eastAsia="en-US"/>
        </w:rPr>
      </w:pPr>
      <w:r>
        <w:rPr>
          <w:rFonts w:asciiTheme="majorHAnsi" w:hAnsiTheme="majorHAnsi" w:cs="Leelawadee UI"/>
          <w:b/>
        </w:rPr>
        <w:lastRenderedPageBreak/>
        <w:t xml:space="preserve">3.- </w:t>
      </w:r>
      <w:r w:rsidRPr="00B10B3C">
        <w:rPr>
          <w:rFonts w:asciiTheme="majorHAnsi" w:hAnsiTheme="majorHAnsi" w:cs="Leelawadee UI"/>
          <w:b/>
        </w:rPr>
        <w:t>Situación financiera INVERSIONES CRECEPYMES, C.A.:</w:t>
      </w:r>
    </w:p>
    <w:p w:rsidR="00B10B3C" w:rsidRPr="00B10B3C" w:rsidRDefault="00B10B3C" w:rsidP="00B10B3C">
      <w:pPr>
        <w:spacing w:line="276" w:lineRule="auto"/>
        <w:jc w:val="both"/>
        <w:rPr>
          <w:rFonts w:asciiTheme="majorHAnsi" w:hAnsiTheme="majorHAnsi" w:cs="Leelawadee UI"/>
        </w:rPr>
      </w:pPr>
      <w:r w:rsidRPr="00B10B3C">
        <w:rPr>
          <w:rFonts w:asciiTheme="majorHAnsi" w:hAnsiTheme="majorHAnsi" w:cs="Leelawadee UI"/>
        </w:rPr>
        <w:t>Los estados financieros de Inversiones Crecepymes, C.A. al 31 de diciembre de 2018, fueron preparados de conformidad con las Normas Establecidas por la Superintendencia Nacional de Valores (SUNAVAL), en su circular No.  774 emitida en julio de 2016, las cuales difieren de los Principios de Contabilidad Generalmente Aceptados en Venezuela (VEN-NIF) en cuanto a la metodología para la determinación de los efectos de la Inflación en los estados financieros.</w:t>
      </w:r>
    </w:p>
    <w:p w:rsidR="00B10B3C" w:rsidRDefault="00B10B3C" w:rsidP="00B10B3C">
      <w:pPr>
        <w:spacing w:line="276" w:lineRule="auto"/>
        <w:jc w:val="both"/>
        <w:rPr>
          <w:rFonts w:asciiTheme="majorHAnsi" w:hAnsiTheme="majorHAnsi" w:cs="Leelawadee UI"/>
        </w:rPr>
      </w:pPr>
    </w:p>
    <w:p w:rsidR="00B10B3C" w:rsidRPr="00B10B3C" w:rsidRDefault="00B10B3C" w:rsidP="00B10B3C">
      <w:pPr>
        <w:spacing w:line="276" w:lineRule="auto"/>
        <w:jc w:val="both"/>
        <w:rPr>
          <w:rFonts w:asciiTheme="majorHAnsi" w:hAnsiTheme="majorHAnsi" w:cs="Leelawadee UI"/>
        </w:rPr>
      </w:pPr>
      <w:r w:rsidRPr="00B10B3C">
        <w:rPr>
          <w:rFonts w:asciiTheme="majorHAnsi" w:hAnsiTheme="majorHAnsi" w:cs="Leelawadee UI"/>
        </w:rPr>
        <w:t>Esta metodología indicó que los estados financieros deben ajustarse con base al último índice de inflación publicado por el Banco Central de Venezuela. Debido a que el último índice de inflación (INPC) publicado corresponde a diciembre de 2015, los estados financieros adjuntos incluyeron los efectos de inflación a esa fecha, y no se han generado durante los años posteriores ganancias o pérdidas por este concepto que deban ser reflejadas en los estados financieros.</w:t>
      </w:r>
    </w:p>
    <w:p w:rsidR="00B10B3C" w:rsidRDefault="00B10B3C" w:rsidP="00B10B3C">
      <w:pPr>
        <w:spacing w:line="276" w:lineRule="auto"/>
        <w:jc w:val="both"/>
        <w:rPr>
          <w:rFonts w:asciiTheme="majorHAnsi" w:eastAsia="Calibri" w:hAnsiTheme="majorHAnsi" w:cs="Leelawadee UI"/>
          <w:lang w:eastAsia="en-US"/>
        </w:rPr>
      </w:pPr>
    </w:p>
    <w:p w:rsidR="00B10B3C" w:rsidRPr="00B10B3C" w:rsidRDefault="00B10B3C" w:rsidP="00B10B3C">
      <w:pPr>
        <w:spacing w:line="276" w:lineRule="auto"/>
        <w:jc w:val="both"/>
        <w:rPr>
          <w:rFonts w:asciiTheme="majorHAnsi" w:hAnsiTheme="majorHAnsi" w:cs="Leelawadee UI"/>
        </w:rPr>
      </w:pPr>
      <w:r w:rsidRPr="00B10B3C">
        <w:rPr>
          <w:rFonts w:asciiTheme="majorHAnsi" w:hAnsiTheme="majorHAnsi" w:cs="Leelawadee UI"/>
        </w:rPr>
        <w:t>Asimismo, es menester señalar que, debido a la inestabilidad política que afronta el país, agravada en este último año, la pérdida del valor de mercado de las inversiones en moneda extranjera ha sido en 9 puntos porcentuales con respecto al año 2017 (81,24% con respecto a su valor nominal), dichas pérdidas se han visto compensadas al 31 de diciembre de 2018 con ganancias cambiarias a consecuencia de la devaluación de 1.907.759% del Bolívar frente al Dólar americano (US$), a consecuencia del la reconversión monetaria de agosto 2018.</w:t>
      </w:r>
    </w:p>
    <w:p w:rsidR="00B10B3C" w:rsidRDefault="00B10B3C" w:rsidP="00B10B3C">
      <w:pPr>
        <w:spacing w:line="276" w:lineRule="auto"/>
        <w:jc w:val="both"/>
        <w:rPr>
          <w:rFonts w:asciiTheme="majorHAnsi" w:hAnsiTheme="majorHAnsi" w:cs="Leelawadee UI"/>
        </w:rPr>
      </w:pPr>
    </w:p>
    <w:p w:rsidR="00B10B3C" w:rsidRPr="00B10B3C" w:rsidRDefault="00B10B3C" w:rsidP="00B10B3C">
      <w:pPr>
        <w:spacing w:line="276" w:lineRule="auto"/>
        <w:jc w:val="both"/>
        <w:rPr>
          <w:rFonts w:asciiTheme="majorHAnsi" w:hAnsiTheme="majorHAnsi" w:cs="Leelawadee UI"/>
        </w:rPr>
      </w:pPr>
      <w:r w:rsidRPr="00B10B3C">
        <w:rPr>
          <w:rFonts w:asciiTheme="majorHAnsi" w:hAnsiTheme="majorHAnsi" w:cs="Leelawadee UI"/>
        </w:rPr>
        <w:t>Todos los activos en moneda extranjera se encontraron valorizados a</w:t>
      </w:r>
      <w:r>
        <w:rPr>
          <w:rFonts w:asciiTheme="majorHAnsi" w:hAnsiTheme="majorHAnsi" w:cs="Leelawadee UI"/>
        </w:rPr>
        <w:t xml:space="preserve"> </w:t>
      </w:r>
      <w:r w:rsidRPr="00B10B3C">
        <w:rPr>
          <w:rFonts w:asciiTheme="majorHAnsi" w:hAnsiTheme="majorHAnsi" w:cs="Leelawadee UI"/>
        </w:rPr>
        <w:t>la tasa DICOM de BsS. 638,18/US$1 de acuerdo al Convenio Cambiario No. 1.</w:t>
      </w:r>
    </w:p>
    <w:p w:rsidR="00B10B3C" w:rsidRDefault="00B10B3C" w:rsidP="00B10B3C">
      <w:pPr>
        <w:rPr>
          <w:rFonts w:asciiTheme="majorHAnsi" w:eastAsia="Calibri" w:hAnsiTheme="majorHAnsi" w:cs="Leelawadee UI"/>
          <w:lang w:eastAsia="en-US"/>
        </w:rPr>
      </w:pPr>
    </w:p>
    <w:p w:rsidR="00B10B3C" w:rsidRPr="00B10B3C" w:rsidRDefault="00B10B3C" w:rsidP="00B10B3C">
      <w:pPr>
        <w:jc w:val="both"/>
        <w:rPr>
          <w:rFonts w:asciiTheme="majorHAnsi" w:hAnsiTheme="majorHAnsi" w:cs="Leelawadee UI"/>
        </w:rPr>
      </w:pPr>
      <w:r w:rsidRPr="00B10B3C">
        <w:rPr>
          <w:rFonts w:asciiTheme="majorHAnsi" w:hAnsiTheme="majorHAnsi" w:cs="Leelawadee UI"/>
        </w:rPr>
        <w:t>Se presentaron los estados financieros de Inversiones Crecepymes, C.A. tanto en Bolívares Constantes como Nominales al 31 de diciembre de 2018, y el detalle de cada una de las partidas mostradas en dichos estados financieros, a saber:</w:t>
      </w:r>
    </w:p>
    <w:p w:rsidR="00B10B3C" w:rsidRPr="00B10B3C" w:rsidRDefault="00B10B3C" w:rsidP="00B10B3C">
      <w:pPr>
        <w:rPr>
          <w:rFonts w:asciiTheme="majorHAnsi" w:hAnsiTheme="majorHAnsi" w:cs="Leelawadee UI"/>
          <w:highlight w:val="yellow"/>
        </w:rPr>
      </w:pPr>
    </w:p>
    <w:p w:rsidR="00B10B3C" w:rsidRDefault="00B10B3C" w:rsidP="00B10B3C">
      <w:pPr>
        <w:rPr>
          <w:rFonts w:ascii="Leelawadee UI" w:hAnsi="Leelawadee UI" w:cs="Leelawadee UI"/>
          <w:highlight w:val="yellow"/>
        </w:rPr>
        <w:sectPr w:rsidR="00B10B3C" w:rsidSect="0063452F">
          <w:footerReference w:type="even" r:id="rId9"/>
          <w:footerReference w:type="default" r:id="rId10"/>
          <w:pgSz w:w="11906" w:h="16838"/>
          <w:pgMar w:top="1417" w:right="1701" w:bottom="1417" w:left="1701" w:header="708" w:footer="708" w:gutter="0"/>
          <w:cols w:space="708"/>
          <w:docGrid w:linePitch="360"/>
        </w:sectPr>
      </w:pPr>
    </w:p>
    <w:p w:rsidR="00B10B3C" w:rsidRDefault="00B10B3C" w:rsidP="00B10B3C">
      <w:pPr>
        <w:jc w:val="center"/>
        <w:rPr>
          <w:rFonts w:ascii="Leelawadee UI" w:hAnsi="Leelawadee UI" w:cs="Leelawadee UI"/>
          <w:highlight w:val="yellow"/>
        </w:rPr>
      </w:pPr>
    </w:p>
    <w:p w:rsidR="00B10B3C" w:rsidRDefault="00B10B3C" w:rsidP="00B10B3C">
      <w:pPr>
        <w:rPr>
          <w:rFonts w:ascii="Leelawadee UI" w:hAnsi="Leelawadee UI" w:cs="Leelawadee UI"/>
          <w:highlight w:val="yellow"/>
        </w:rPr>
      </w:pPr>
      <w:r>
        <w:rPr>
          <w:rFonts w:ascii="Leelawadee UI" w:hAnsi="Leelawadee UI" w:cs="Leelawadee UI"/>
          <w:noProof/>
          <w:lang w:val="es-VE" w:eastAsia="es-VE"/>
        </w:rPr>
        <w:drawing>
          <wp:inline distT="0" distB="0" distL="0" distR="0">
            <wp:extent cx="6120130" cy="7606984"/>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120130" cy="7606984"/>
                    </a:xfrm>
                    <a:prstGeom prst="rect">
                      <a:avLst/>
                    </a:prstGeom>
                    <a:noFill/>
                    <a:ln w="9525">
                      <a:noFill/>
                      <a:miter lim="800000"/>
                      <a:headEnd/>
                      <a:tailEnd/>
                    </a:ln>
                  </pic:spPr>
                </pic:pic>
              </a:graphicData>
            </a:graphic>
          </wp:inline>
        </w:drawing>
      </w:r>
      <w:r>
        <w:rPr>
          <w:rFonts w:ascii="Leelawadee UI" w:hAnsi="Leelawadee UI" w:cs="Leelawadee UI"/>
          <w:highlight w:val="yellow"/>
        </w:rPr>
        <w:br w:type="page"/>
      </w:r>
    </w:p>
    <w:p w:rsidR="00B10B3C" w:rsidRDefault="00B10B3C" w:rsidP="00B10B3C">
      <w:pPr>
        <w:ind w:right="-1135"/>
        <w:rPr>
          <w:rFonts w:ascii="Leelawadee UI" w:hAnsi="Leelawadee UI" w:cs="Leelawadee UI"/>
          <w:highlight w:val="yellow"/>
        </w:rPr>
      </w:pPr>
      <w:r>
        <w:rPr>
          <w:rFonts w:ascii="Leelawadee UI" w:hAnsi="Leelawadee UI" w:cs="Leelawadee UI"/>
          <w:noProof/>
          <w:lang w:val="es-VE" w:eastAsia="es-VE"/>
        </w:rPr>
        <w:lastRenderedPageBreak/>
        <w:drawing>
          <wp:inline distT="0" distB="0" distL="0" distR="0">
            <wp:extent cx="6120130" cy="3934991"/>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6120130" cy="3934991"/>
                    </a:xfrm>
                    <a:prstGeom prst="rect">
                      <a:avLst/>
                    </a:prstGeom>
                    <a:noFill/>
                    <a:ln w="9525">
                      <a:noFill/>
                      <a:miter lim="800000"/>
                      <a:headEnd/>
                      <a:tailEnd/>
                    </a:ln>
                  </pic:spPr>
                </pic:pic>
              </a:graphicData>
            </a:graphic>
          </wp:inline>
        </w:drawing>
      </w:r>
    </w:p>
    <w:p w:rsidR="00B10B3C" w:rsidRDefault="00B10B3C" w:rsidP="00B10B3C">
      <w:pPr>
        <w:ind w:right="-1135"/>
        <w:rPr>
          <w:rFonts w:ascii="Leelawadee UI" w:hAnsi="Leelawadee UI" w:cs="Leelawadee UI"/>
          <w:highlight w:val="yellow"/>
        </w:rPr>
      </w:pPr>
    </w:p>
    <w:p w:rsidR="00B10B3C" w:rsidRDefault="00B10B3C" w:rsidP="00B10B3C">
      <w:pPr>
        <w:ind w:right="-1135"/>
        <w:rPr>
          <w:rFonts w:ascii="Leelawadee UI" w:hAnsi="Leelawadee UI" w:cs="Leelawadee UI"/>
          <w:highlight w:val="yellow"/>
        </w:rPr>
        <w:sectPr w:rsidR="00B10B3C" w:rsidSect="007029C3">
          <w:pgSz w:w="11906" w:h="16838"/>
          <w:pgMar w:top="1418" w:right="1134" w:bottom="1134" w:left="1134" w:header="709" w:footer="709" w:gutter="0"/>
          <w:cols w:space="708"/>
          <w:docGrid w:linePitch="360"/>
        </w:sectPr>
      </w:pPr>
    </w:p>
    <w:p w:rsidR="00B10B3C" w:rsidRDefault="00B10B3C" w:rsidP="00B10B3C">
      <w:pPr>
        <w:ind w:left="-567" w:right="-1135"/>
        <w:jc w:val="center"/>
        <w:rPr>
          <w:rFonts w:ascii="Leelawadee UI" w:hAnsi="Leelawadee UI" w:cs="Leelawadee UI"/>
          <w:highlight w:val="yellow"/>
        </w:rPr>
      </w:pPr>
      <w:r>
        <w:rPr>
          <w:rFonts w:ascii="Leelawadee UI" w:hAnsi="Leelawadee UI" w:cs="Leelawadee UI"/>
          <w:noProof/>
          <w:lang w:val="es-VE" w:eastAsia="es-VE"/>
        </w:rPr>
        <w:lastRenderedPageBreak/>
        <w:drawing>
          <wp:inline distT="0" distB="0" distL="0" distR="0">
            <wp:extent cx="8753475" cy="5939488"/>
            <wp:effectExtent l="19050" t="0" r="952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srcRect/>
                    <a:stretch>
                      <a:fillRect/>
                    </a:stretch>
                  </pic:blipFill>
                  <pic:spPr bwMode="auto">
                    <a:xfrm>
                      <a:off x="0" y="0"/>
                      <a:ext cx="8753025" cy="5939182"/>
                    </a:xfrm>
                    <a:prstGeom prst="rect">
                      <a:avLst/>
                    </a:prstGeom>
                    <a:noFill/>
                    <a:ln w="9525">
                      <a:noFill/>
                      <a:miter lim="800000"/>
                      <a:headEnd/>
                      <a:tailEnd/>
                    </a:ln>
                  </pic:spPr>
                </pic:pic>
              </a:graphicData>
            </a:graphic>
          </wp:inline>
        </w:drawing>
      </w:r>
    </w:p>
    <w:p w:rsidR="00B10B3C" w:rsidRDefault="00B10B3C" w:rsidP="00B10B3C">
      <w:pPr>
        <w:ind w:left="-567" w:right="-1135"/>
        <w:rPr>
          <w:rFonts w:ascii="Leelawadee UI" w:hAnsi="Leelawadee UI" w:cs="Leelawadee UI"/>
          <w:highlight w:val="yellow"/>
        </w:rPr>
      </w:pPr>
    </w:p>
    <w:p w:rsidR="00B10B3C" w:rsidRDefault="00B10B3C" w:rsidP="00B10B3C">
      <w:pPr>
        <w:ind w:left="-567" w:right="-1135"/>
        <w:rPr>
          <w:rFonts w:ascii="Leelawadee UI" w:hAnsi="Leelawadee UI" w:cs="Leelawadee UI"/>
          <w:highlight w:val="yellow"/>
        </w:rPr>
        <w:sectPr w:rsidR="00B10B3C" w:rsidSect="007029C3">
          <w:pgSz w:w="16838" w:h="11906" w:orient="landscape"/>
          <w:pgMar w:top="794" w:right="794" w:bottom="737" w:left="851" w:header="709" w:footer="709" w:gutter="0"/>
          <w:cols w:space="708"/>
          <w:docGrid w:linePitch="360"/>
        </w:sectPr>
      </w:pPr>
    </w:p>
    <w:p w:rsidR="00B10B3C" w:rsidRDefault="00B10B3C" w:rsidP="00B10B3C">
      <w:pPr>
        <w:rPr>
          <w:rFonts w:ascii="Leelawadee UI" w:hAnsi="Leelawadee UI" w:cs="Leelawadee UI"/>
          <w:highlight w:val="yellow"/>
        </w:rPr>
      </w:pPr>
      <w:r>
        <w:rPr>
          <w:rFonts w:ascii="Leelawadee UI" w:hAnsi="Leelawadee UI" w:cs="Leelawadee UI"/>
          <w:noProof/>
          <w:lang w:val="es-VE" w:eastAsia="es-VE"/>
        </w:rPr>
        <w:lastRenderedPageBreak/>
        <w:drawing>
          <wp:inline distT="0" distB="0" distL="0" distR="0">
            <wp:extent cx="6120130" cy="7191719"/>
            <wp:effectExtent l="19050" t="0" r="0" b="0"/>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6120130" cy="7191719"/>
                    </a:xfrm>
                    <a:prstGeom prst="rect">
                      <a:avLst/>
                    </a:prstGeom>
                    <a:noFill/>
                    <a:ln w="9525">
                      <a:noFill/>
                      <a:miter lim="800000"/>
                      <a:headEnd/>
                      <a:tailEnd/>
                    </a:ln>
                  </pic:spPr>
                </pic:pic>
              </a:graphicData>
            </a:graphic>
          </wp:inline>
        </w:drawing>
      </w:r>
    </w:p>
    <w:p w:rsidR="00B10B3C" w:rsidRDefault="00B10B3C" w:rsidP="00B10B3C">
      <w:pPr>
        <w:rPr>
          <w:rFonts w:ascii="Leelawadee UI" w:hAnsi="Leelawadee UI" w:cs="Leelawadee UI"/>
        </w:rPr>
      </w:pPr>
      <w:r>
        <w:rPr>
          <w:rFonts w:ascii="Leelawadee UI" w:hAnsi="Leelawadee UI" w:cs="Leelawadee UI"/>
        </w:rPr>
        <w:br w:type="page"/>
      </w:r>
    </w:p>
    <w:p w:rsidR="00B10B3C" w:rsidRDefault="00B10B3C" w:rsidP="00B10B3C">
      <w:pPr>
        <w:jc w:val="both"/>
        <w:rPr>
          <w:rFonts w:ascii="Leelawadee UI" w:hAnsi="Leelawadee UI" w:cs="Leelawadee UI"/>
        </w:rPr>
      </w:pPr>
      <w:r>
        <w:rPr>
          <w:rFonts w:ascii="Leelawadee UI" w:hAnsi="Leelawadee UI" w:cs="Leelawadee UI"/>
          <w:noProof/>
          <w:lang w:val="es-VE" w:eastAsia="es-VE"/>
        </w:rPr>
        <w:lastRenderedPageBreak/>
        <w:drawing>
          <wp:inline distT="0" distB="0" distL="0" distR="0">
            <wp:extent cx="6120130" cy="4358835"/>
            <wp:effectExtent l="1905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6120130" cy="4358835"/>
                    </a:xfrm>
                    <a:prstGeom prst="rect">
                      <a:avLst/>
                    </a:prstGeom>
                    <a:noFill/>
                    <a:ln w="9525">
                      <a:noFill/>
                      <a:miter lim="800000"/>
                      <a:headEnd/>
                      <a:tailEnd/>
                    </a:ln>
                  </pic:spPr>
                </pic:pic>
              </a:graphicData>
            </a:graphic>
          </wp:inline>
        </w:drawing>
      </w:r>
    </w:p>
    <w:p w:rsidR="00B10B3C" w:rsidRDefault="00B10B3C" w:rsidP="00B10B3C">
      <w:pPr>
        <w:jc w:val="both"/>
        <w:rPr>
          <w:rFonts w:ascii="Leelawadee UI" w:hAnsi="Leelawadee UI" w:cs="Leelawadee UI"/>
        </w:rPr>
      </w:pPr>
    </w:p>
    <w:p w:rsidR="00B10B3C" w:rsidRDefault="00B10B3C" w:rsidP="00B10B3C">
      <w:pPr>
        <w:jc w:val="both"/>
        <w:rPr>
          <w:rFonts w:ascii="Leelawadee UI" w:hAnsi="Leelawadee UI" w:cs="Leelawadee UI"/>
        </w:rPr>
      </w:pPr>
    </w:p>
    <w:p w:rsidR="00B10B3C" w:rsidRDefault="00B10B3C" w:rsidP="00B10B3C">
      <w:pPr>
        <w:jc w:val="both"/>
        <w:rPr>
          <w:rFonts w:ascii="Leelawadee UI" w:hAnsi="Leelawadee UI" w:cs="Leelawadee UI"/>
        </w:rPr>
      </w:pPr>
    </w:p>
    <w:p w:rsidR="00B10B3C" w:rsidRDefault="00B10B3C" w:rsidP="00B10B3C">
      <w:pPr>
        <w:jc w:val="both"/>
        <w:rPr>
          <w:rFonts w:ascii="Leelawadee UI" w:hAnsi="Leelawadee UI" w:cs="Leelawadee UI"/>
          <w:noProof/>
          <w:lang w:val="es-VE" w:eastAsia="es-VE"/>
        </w:rPr>
      </w:pPr>
    </w:p>
    <w:p w:rsidR="00B10B3C" w:rsidRDefault="00B10B3C" w:rsidP="00B10B3C">
      <w:pPr>
        <w:rPr>
          <w:rFonts w:ascii="Leelawadee UI" w:hAnsi="Leelawadee UI" w:cs="Leelawadee UI"/>
        </w:rPr>
      </w:pPr>
    </w:p>
    <w:p w:rsidR="00B10B3C" w:rsidRDefault="00B10B3C" w:rsidP="00B10B3C">
      <w:pPr>
        <w:rPr>
          <w:rFonts w:ascii="Leelawadee UI" w:hAnsi="Leelawadee UI" w:cs="Leelawadee UI"/>
        </w:rPr>
      </w:pPr>
    </w:p>
    <w:p w:rsidR="00B10B3C" w:rsidRDefault="00B10B3C" w:rsidP="00B10B3C">
      <w:pPr>
        <w:rPr>
          <w:rFonts w:ascii="Leelawadee UI" w:hAnsi="Leelawadee UI" w:cs="Leelawadee UI"/>
        </w:rPr>
      </w:pPr>
    </w:p>
    <w:p w:rsidR="00B10B3C" w:rsidRDefault="00B10B3C" w:rsidP="00B10B3C">
      <w:pPr>
        <w:rPr>
          <w:rFonts w:ascii="Leelawadee UI" w:hAnsi="Leelawadee UI" w:cs="Leelawadee UI"/>
        </w:rPr>
      </w:pPr>
    </w:p>
    <w:p w:rsidR="00B10B3C" w:rsidRDefault="00B10B3C" w:rsidP="00B10B3C">
      <w:pPr>
        <w:rPr>
          <w:rFonts w:ascii="Leelawadee UI" w:hAnsi="Leelawadee UI" w:cs="Leelawadee UI"/>
        </w:rPr>
      </w:pPr>
    </w:p>
    <w:p w:rsidR="00B10B3C" w:rsidRDefault="00B10B3C" w:rsidP="00B10B3C">
      <w:pPr>
        <w:rPr>
          <w:rFonts w:ascii="Leelawadee UI" w:hAnsi="Leelawadee UI" w:cs="Leelawadee UI"/>
        </w:rPr>
      </w:pPr>
      <w:r>
        <w:rPr>
          <w:rFonts w:ascii="Leelawadee UI" w:hAnsi="Leelawadee UI" w:cs="Leelawadee UI"/>
        </w:rPr>
        <w:br w:type="page"/>
      </w:r>
    </w:p>
    <w:p w:rsidR="00B10B3C" w:rsidRDefault="00B10B3C" w:rsidP="00B10B3C">
      <w:pPr>
        <w:rPr>
          <w:rFonts w:ascii="Leelawadee UI" w:hAnsi="Leelawadee UI" w:cs="Leelawadee UI"/>
        </w:rPr>
      </w:pPr>
      <w:r>
        <w:rPr>
          <w:rFonts w:ascii="Leelawadee UI" w:hAnsi="Leelawadee UI" w:cs="Leelawadee UI"/>
          <w:noProof/>
          <w:lang w:val="es-VE" w:eastAsia="es-VE"/>
        </w:rPr>
        <w:lastRenderedPageBreak/>
        <w:drawing>
          <wp:inline distT="0" distB="0" distL="0" distR="0">
            <wp:extent cx="6120130" cy="6187384"/>
            <wp:effectExtent l="19050" t="0" r="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6120130" cy="6187384"/>
                    </a:xfrm>
                    <a:prstGeom prst="rect">
                      <a:avLst/>
                    </a:prstGeom>
                    <a:noFill/>
                    <a:ln w="9525">
                      <a:noFill/>
                      <a:miter lim="800000"/>
                      <a:headEnd/>
                      <a:tailEnd/>
                    </a:ln>
                  </pic:spPr>
                </pic:pic>
              </a:graphicData>
            </a:graphic>
          </wp:inline>
        </w:drawing>
      </w:r>
      <w:r>
        <w:rPr>
          <w:rFonts w:ascii="Leelawadee UI" w:hAnsi="Leelawadee UI" w:cs="Leelawadee UI"/>
        </w:rPr>
        <w:br w:type="page"/>
      </w:r>
    </w:p>
    <w:p w:rsidR="00B10B3C" w:rsidRDefault="00B10B3C" w:rsidP="00B10B3C">
      <w:pPr>
        <w:rPr>
          <w:rFonts w:ascii="Leelawadee UI" w:hAnsi="Leelawadee UI" w:cs="Leelawadee UI"/>
        </w:rPr>
      </w:pPr>
    </w:p>
    <w:p w:rsidR="00B10B3C" w:rsidRPr="007029C3" w:rsidRDefault="00B10B3C" w:rsidP="00B10B3C">
      <w:pPr>
        <w:jc w:val="both"/>
        <w:rPr>
          <w:rFonts w:ascii="Leelawadee UI" w:hAnsi="Leelawadee UI" w:cs="Leelawadee UI"/>
        </w:rPr>
      </w:pPr>
      <w:r>
        <w:rPr>
          <w:rFonts w:ascii="Leelawadee UI" w:hAnsi="Leelawadee UI" w:cs="Leelawadee UI"/>
          <w:noProof/>
          <w:lang w:val="es-VE" w:eastAsia="es-VE"/>
        </w:rPr>
        <w:drawing>
          <wp:inline distT="0" distB="0" distL="0" distR="0">
            <wp:extent cx="6120130" cy="3879931"/>
            <wp:effectExtent l="19050" t="0" r="0" b="0"/>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6120130" cy="3879931"/>
                    </a:xfrm>
                    <a:prstGeom prst="rect">
                      <a:avLst/>
                    </a:prstGeom>
                    <a:noFill/>
                    <a:ln w="9525">
                      <a:noFill/>
                      <a:miter lim="800000"/>
                      <a:headEnd/>
                      <a:tailEnd/>
                    </a:ln>
                  </pic:spPr>
                </pic:pic>
              </a:graphicData>
            </a:graphic>
          </wp:inline>
        </w:drawing>
      </w:r>
    </w:p>
    <w:p w:rsidR="003844FD" w:rsidRPr="003844FD" w:rsidRDefault="003844FD" w:rsidP="003844FD">
      <w:pPr>
        <w:pStyle w:val="Prrafodelista"/>
        <w:jc w:val="both"/>
        <w:rPr>
          <w:rFonts w:asciiTheme="majorHAnsi" w:hAnsiTheme="majorHAnsi" w:cstheme="majorHAnsi"/>
          <w:sz w:val="24"/>
          <w:szCs w:val="24"/>
        </w:rPr>
      </w:pPr>
    </w:p>
    <w:sectPr w:rsidR="003844FD" w:rsidRPr="003844FD" w:rsidSect="0063452F">
      <w:footerReference w:type="even" r:id="rId18"/>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B03" w:rsidRDefault="00820B03">
      <w:r>
        <w:separator/>
      </w:r>
    </w:p>
  </w:endnote>
  <w:endnote w:type="continuationSeparator" w:id="0">
    <w:p w:rsidR="00820B03" w:rsidRDefault="00820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Leelawadee UI">
    <w:altName w:val="Arial Unicode MS"/>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B3C" w:rsidRDefault="00B10B3C" w:rsidP="00477A98">
    <w:pPr>
      <w:pStyle w:val="Piedepgina"/>
      <w:framePr w:wrap="around" w:vAnchor="text" w:hAnchor="margin" w:xAlign="right" w:y="1"/>
      <w:rPr>
        <w:rStyle w:val="Nmerodepgina"/>
        <w:rFonts w:ascii="Times New Roman" w:hAnsi="Times New Roman"/>
        <w:sz w:val="24"/>
        <w:szCs w:val="24"/>
        <w:lang w:val="es-ES" w:eastAsia="es-ES"/>
      </w:rPr>
    </w:pPr>
    <w:r>
      <w:rPr>
        <w:rStyle w:val="Nmerodepgina"/>
      </w:rPr>
      <w:fldChar w:fldCharType="begin"/>
    </w:r>
    <w:r>
      <w:rPr>
        <w:rStyle w:val="Nmerodepgina"/>
      </w:rPr>
      <w:instrText xml:space="preserve">PAGE  </w:instrText>
    </w:r>
    <w:r>
      <w:rPr>
        <w:rStyle w:val="Nmerodepgina"/>
      </w:rPr>
      <w:fldChar w:fldCharType="end"/>
    </w:r>
  </w:p>
  <w:p w:rsidR="00B10B3C" w:rsidRDefault="00B10B3C" w:rsidP="00477A9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0B3C" w:rsidRDefault="00B10B3C" w:rsidP="00477A98">
    <w:pPr>
      <w:pStyle w:val="Piedepgina"/>
      <w:framePr w:wrap="around" w:vAnchor="text" w:hAnchor="margin" w:xAlign="right" w:y="1"/>
      <w:rPr>
        <w:rStyle w:val="Nmerodepgina"/>
        <w:rFonts w:ascii="Times New Roman" w:hAnsi="Times New Roman"/>
        <w:sz w:val="24"/>
        <w:szCs w:val="24"/>
        <w:lang w:val="es-ES" w:eastAsia="es-ES"/>
      </w:rPr>
    </w:pPr>
    <w:r>
      <w:rPr>
        <w:rStyle w:val="Nmerodepgina"/>
      </w:rPr>
      <w:fldChar w:fldCharType="begin"/>
    </w:r>
    <w:r>
      <w:rPr>
        <w:rStyle w:val="Nmerodepgina"/>
      </w:rPr>
      <w:instrText xml:space="preserve">PAGE  </w:instrText>
    </w:r>
    <w:r>
      <w:rPr>
        <w:rStyle w:val="Nmerodepgina"/>
      </w:rPr>
      <w:fldChar w:fldCharType="separate"/>
    </w:r>
    <w:r w:rsidR="00E86CC3">
      <w:rPr>
        <w:rStyle w:val="Nmerodepgina"/>
        <w:noProof/>
      </w:rPr>
      <w:t>10</w:t>
    </w:r>
    <w:r>
      <w:rPr>
        <w:rStyle w:val="Nmerodepgina"/>
      </w:rPr>
      <w:fldChar w:fldCharType="end"/>
    </w:r>
  </w:p>
  <w:p w:rsidR="00B10B3C" w:rsidRDefault="00B10B3C" w:rsidP="00477A98">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E2" w:rsidRDefault="0024431B" w:rsidP="00477A98">
    <w:pPr>
      <w:pStyle w:val="Piedepgina"/>
      <w:framePr w:wrap="around" w:vAnchor="text" w:hAnchor="margin" w:xAlign="right" w:y="1"/>
      <w:rPr>
        <w:rStyle w:val="Nmerodepgina"/>
        <w:rFonts w:ascii="Times New Roman" w:hAnsi="Times New Roman"/>
        <w:sz w:val="24"/>
        <w:szCs w:val="24"/>
        <w:lang w:val="es-ES" w:eastAsia="es-ES"/>
      </w:rPr>
    </w:pPr>
    <w:r>
      <w:rPr>
        <w:rStyle w:val="Nmerodepgina"/>
      </w:rPr>
      <w:fldChar w:fldCharType="begin"/>
    </w:r>
    <w:r w:rsidR="00E527E2">
      <w:rPr>
        <w:rStyle w:val="Nmerodepgina"/>
      </w:rPr>
      <w:instrText xml:space="preserve">PAGE  </w:instrText>
    </w:r>
    <w:r>
      <w:rPr>
        <w:rStyle w:val="Nmerodepgina"/>
      </w:rPr>
      <w:fldChar w:fldCharType="end"/>
    </w:r>
  </w:p>
  <w:p w:rsidR="00E527E2" w:rsidRDefault="00E527E2" w:rsidP="00477A98">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7E2" w:rsidRDefault="0024431B" w:rsidP="00477A98">
    <w:pPr>
      <w:pStyle w:val="Piedepgina"/>
      <w:framePr w:wrap="around" w:vAnchor="text" w:hAnchor="margin" w:xAlign="right" w:y="1"/>
      <w:rPr>
        <w:rStyle w:val="Nmerodepgina"/>
        <w:rFonts w:ascii="Times New Roman" w:hAnsi="Times New Roman"/>
        <w:sz w:val="24"/>
        <w:szCs w:val="24"/>
        <w:lang w:val="es-ES" w:eastAsia="es-ES"/>
      </w:rPr>
    </w:pPr>
    <w:r>
      <w:rPr>
        <w:rStyle w:val="Nmerodepgina"/>
      </w:rPr>
      <w:fldChar w:fldCharType="begin"/>
    </w:r>
    <w:r w:rsidR="00E527E2">
      <w:rPr>
        <w:rStyle w:val="Nmerodepgina"/>
      </w:rPr>
      <w:instrText xml:space="preserve">PAGE  </w:instrText>
    </w:r>
    <w:r>
      <w:rPr>
        <w:rStyle w:val="Nmerodepgina"/>
      </w:rPr>
      <w:fldChar w:fldCharType="separate"/>
    </w:r>
    <w:r w:rsidR="00E86CC3">
      <w:rPr>
        <w:rStyle w:val="Nmerodepgina"/>
        <w:noProof/>
      </w:rPr>
      <w:t>14</w:t>
    </w:r>
    <w:r>
      <w:rPr>
        <w:rStyle w:val="Nmerodepgina"/>
      </w:rPr>
      <w:fldChar w:fldCharType="end"/>
    </w:r>
  </w:p>
  <w:p w:rsidR="00E527E2" w:rsidRDefault="00E527E2" w:rsidP="00477A9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B03" w:rsidRDefault="00820B03">
      <w:r>
        <w:separator/>
      </w:r>
    </w:p>
  </w:footnote>
  <w:footnote w:type="continuationSeparator" w:id="0">
    <w:p w:rsidR="00820B03" w:rsidRDefault="00820B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3EEB1F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53D22D0"/>
    <w:multiLevelType w:val="hybridMultilevel"/>
    <w:tmpl w:val="C0BEB1C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53E5CFE"/>
    <w:multiLevelType w:val="hybridMultilevel"/>
    <w:tmpl w:val="4B820C7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656480D"/>
    <w:multiLevelType w:val="hybridMultilevel"/>
    <w:tmpl w:val="AB36BD26"/>
    <w:lvl w:ilvl="0" w:tplc="882221B6">
      <w:start w:val="424"/>
      <w:numFmt w:val="decimal"/>
      <w:lvlText w:val="%1"/>
      <w:lvlJc w:val="left"/>
      <w:pPr>
        <w:ind w:left="1050" w:hanging="360"/>
      </w:pPr>
      <w:rPr>
        <w:rFonts w:hint="default"/>
      </w:rPr>
    </w:lvl>
    <w:lvl w:ilvl="1" w:tplc="0C0A0019" w:tentative="1">
      <w:start w:val="1"/>
      <w:numFmt w:val="lowerLetter"/>
      <w:lvlText w:val="%2."/>
      <w:lvlJc w:val="left"/>
      <w:pPr>
        <w:ind w:left="1770" w:hanging="360"/>
      </w:pPr>
    </w:lvl>
    <w:lvl w:ilvl="2" w:tplc="0C0A001B" w:tentative="1">
      <w:start w:val="1"/>
      <w:numFmt w:val="lowerRoman"/>
      <w:lvlText w:val="%3."/>
      <w:lvlJc w:val="right"/>
      <w:pPr>
        <w:ind w:left="2490" w:hanging="180"/>
      </w:pPr>
    </w:lvl>
    <w:lvl w:ilvl="3" w:tplc="0C0A000F" w:tentative="1">
      <w:start w:val="1"/>
      <w:numFmt w:val="decimal"/>
      <w:lvlText w:val="%4."/>
      <w:lvlJc w:val="left"/>
      <w:pPr>
        <w:ind w:left="3210" w:hanging="360"/>
      </w:pPr>
    </w:lvl>
    <w:lvl w:ilvl="4" w:tplc="0C0A0019" w:tentative="1">
      <w:start w:val="1"/>
      <w:numFmt w:val="lowerLetter"/>
      <w:lvlText w:val="%5."/>
      <w:lvlJc w:val="left"/>
      <w:pPr>
        <w:ind w:left="3930" w:hanging="360"/>
      </w:pPr>
    </w:lvl>
    <w:lvl w:ilvl="5" w:tplc="0C0A001B" w:tentative="1">
      <w:start w:val="1"/>
      <w:numFmt w:val="lowerRoman"/>
      <w:lvlText w:val="%6."/>
      <w:lvlJc w:val="right"/>
      <w:pPr>
        <w:ind w:left="4650" w:hanging="180"/>
      </w:pPr>
    </w:lvl>
    <w:lvl w:ilvl="6" w:tplc="0C0A000F" w:tentative="1">
      <w:start w:val="1"/>
      <w:numFmt w:val="decimal"/>
      <w:lvlText w:val="%7."/>
      <w:lvlJc w:val="left"/>
      <w:pPr>
        <w:ind w:left="5370" w:hanging="360"/>
      </w:pPr>
    </w:lvl>
    <w:lvl w:ilvl="7" w:tplc="0C0A0019" w:tentative="1">
      <w:start w:val="1"/>
      <w:numFmt w:val="lowerLetter"/>
      <w:lvlText w:val="%8."/>
      <w:lvlJc w:val="left"/>
      <w:pPr>
        <w:ind w:left="6090" w:hanging="360"/>
      </w:pPr>
    </w:lvl>
    <w:lvl w:ilvl="8" w:tplc="0C0A001B" w:tentative="1">
      <w:start w:val="1"/>
      <w:numFmt w:val="lowerRoman"/>
      <w:lvlText w:val="%9."/>
      <w:lvlJc w:val="right"/>
      <w:pPr>
        <w:ind w:left="6810" w:hanging="180"/>
      </w:pPr>
    </w:lvl>
  </w:abstractNum>
  <w:abstractNum w:abstractNumId="4">
    <w:nsid w:val="1A7A6B5E"/>
    <w:multiLevelType w:val="hybridMultilevel"/>
    <w:tmpl w:val="6D60582E"/>
    <w:lvl w:ilvl="0" w:tplc="E5DEFE7C">
      <w:start w:val="1"/>
      <w:numFmt w:val="upperRoman"/>
      <w:lvlText w:val="%1."/>
      <w:lvlJc w:val="left"/>
      <w:pPr>
        <w:ind w:left="1428" w:hanging="720"/>
      </w:pPr>
      <w:rPr>
        <w:rFonts w:hint="default"/>
        <w:b/>
        <w:sz w:val="22"/>
      </w:rPr>
    </w:lvl>
    <w:lvl w:ilvl="1" w:tplc="200A0019" w:tentative="1">
      <w:start w:val="1"/>
      <w:numFmt w:val="lowerLetter"/>
      <w:lvlText w:val="%2."/>
      <w:lvlJc w:val="left"/>
      <w:pPr>
        <w:ind w:left="1788" w:hanging="360"/>
      </w:pPr>
    </w:lvl>
    <w:lvl w:ilvl="2" w:tplc="200A001B" w:tentative="1">
      <w:start w:val="1"/>
      <w:numFmt w:val="lowerRoman"/>
      <w:lvlText w:val="%3."/>
      <w:lvlJc w:val="right"/>
      <w:pPr>
        <w:ind w:left="2508" w:hanging="180"/>
      </w:pPr>
    </w:lvl>
    <w:lvl w:ilvl="3" w:tplc="200A000F" w:tentative="1">
      <w:start w:val="1"/>
      <w:numFmt w:val="decimal"/>
      <w:lvlText w:val="%4."/>
      <w:lvlJc w:val="left"/>
      <w:pPr>
        <w:ind w:left="3228" w:hanging="360"/>
      </w:pPr>
    </w:lvl>
    <w:lvl w:ilvl="4" w:tplc="200A0019" w:tentative="1">
      <w:start w:val="1"/>
      <w:numFmt w:val="lowerLetter"/>
      <w:lvlText w:val="%5."/>
      <w:lvlJc w:val="left"/>
      <w:pPr>
        <w:ind w:left="3948" w:hanging="360"/>
      </w:pPr>
    </w:lvl>
    <w:lvl w:ilvl="5" w:tplc="200A001B" w:tentative="1">
      <w:start w:val="1"/>
      <w:numFmt w:val="lowerRoman"/>
      <w:lvlText w:val="%6."/>
      <w:lvlJc w:val="right"/>
      <w:pPr>
        <w:ind w:left="4668" w:hanging="180"/>
      </w:pPr>
    </w:lvl>
    <w:lvl w:ilvl="6" w:tplc="200A000F" w:tentative="1">
      <w:start w:val="1"/>
      <w:numFmt w:val="decimal"/>
      <w:lvlText w:val="%7."/>
      <w:lvlJc w:val="left"/>
      <w:pPr>
        <w:ind w:left="5388" w:hanging="360"/>
      </w:pPr>
    </w:lvl>
    <w:lvl w:ilvl="7" w:tplc="200A0019" w:tentative="1">
      <w:start w:val="1"/>
      <w:numFmt w:val="lowerLetter"/>
      <w:lvlText w:val="%8."/>
      <w:lvlJc w:val="left"/>
      <w:pPr>
        <w:ind w:left="6108" w:hanging="360"/>
      </w:pPr>
    </w:lvl>
    <w:lvl w:ilvl="8" w:tplc="200A001B" w:tentative="1">
      <w:start w:val="1"/>
      <w:numFmt w:val="lowerRoman"/>
      <w:lvlText w:val="%9."/>
      <w:lvlJc w:val="right"/>
      <w:pPr>
        <w:ind w:left="6828" w:hanging="180"/>
      </w:pPr>
    </w:lvl>
  </w:abstractNum>
  <w:abstractNum w:abstractNumId="5">
    <w:nsid w:val="1AB5397E"/>
    <w:multiLevelType w:val="hybridMultilevel"/>
    <w:tmpl w:val="076634B6"/>
    <w:lvl w:ilvl="0" w:tplc="5620A1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409D3"/>
    <w:multiLevelType w:val="hybridMultilevel"/>
    <w:tmpl w:val="38209458"/>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23663530"/>
    <w:multiLevelType w:val="hybridMultilevel"/>
    <w:tmpl w:val="3F0887CE"/>
    <w:lvl w:ilvl="0" w:tplc="200A000F">
      <w:start w:val="1"/>
      <w:numFmt w:val="decimal"/>
      <w:lvlText w:val="%1."/>
      <w:lvlJc w:val="left"/>
      <w:pPr>
        <w:ind w:left="36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nsid w:val="2FD419BE"/>
    <w:multiLevelType w:val="hybridMultilevel"/>
    <w:tmpl w:val="964A17BA"/>
    <w:lvl w:ilvl="0" w:tplc="200A0001">
      <w:start w:val="1"/>
      <w:numFmt w:val="bullet"/>
      <w:lvlText w:val=""/>
      <w:lvlJc w:val="left"/>
      <w:pPr>
        <w:ind w:left="761" w:hanging="360"/>
      </w:pPr>
      <w:rPr>
        <w:rFonts w:ascii="Symbol" w:hAnsi="Symbol" w:hint="default"/>
      </w:rPr>
    </w:lvl>
    <w:lvl w:ilvl="1" w:tplc="200A0003" w:tentative="1">
      <w:start w:val="1"/>
      <w:numFmt w:val="bullet"/>
      <w:lvlText w:val="o"/>
      <w:lvlJc w:val="left"/>
      <w:pPr>
        <w:ind w:left="1481" w:hanging="360"/>
      </w:pPr>
      <w:rPr>
        <w:rFonts w:ascii="Courier New" w:hAnsi="Courier New" w:cs="Courier New" w:hint="default"/>
      </w:rPr>
    </w:lvl>
    <w:lvl w:ilvl="2" w:tplc="200A0005" w:tentative="1">
      <w:start w:val="1"/>
      <w:numFmt w:val="bullet"/>
      <w:lvlText w:val=""/>
      <w:lvlJc w:val="left"/>
      <w:pPr>
        <w:ind w:left="2201" w:hanging="360"/>
      </w:pPr>
      <w:rPr>
        <w:rFonts w:ascii="Wingdings" w:hAnsi="Wingdings" w:hint="default"/>
      </w:rPr>
    </w:lvl>
    <w:lvl w:ilvl="3" w:tplc="200A0001" w:tentative="1">
      <w:start w:val="1"/>
      <w:numFmt w:val="bullet"/>
      <w:lvlText w:val=""/>
      <w:lvlJc w:val="left"/>
      <w:pPr>
        <w:ind w:left="2921" w:hanging="360"/>
      </w:pPr>
      <w:rPr>
        <w:rFonts w:ascii="Symbol" w:hAnsi="Symbol" w:hint="default"/>
      </w:rPr>
    </w:lvl>
    <w:lvl w:ilvl="4" w:tplc="200A0003" w:tentative="1">
      <w:start w:val="1"/>
      <w:numFmt w:val="bullet"/>
      <w:lvlText w:val="o"/>
      <w:lvlJc w:val="left"/>
      <w:pPr>
        <w:ind w:left="3641" w:hanging="360"/>
      </w:pPr>
      <w:rPr>
        <w:rFonts w:ascii="Courier New" w:hAnsi="Courier New" w:cs="Courier New" w:hint="default"/>
      </w:rPr>
    </w:lvl>
    <w:lvl w:ilvl="5" w:tplc="200A0005" w:tentative="1">
      <w:start w:val="1"/>
      <w:numFmt w:val="bullet"/>
      <w:lvlText w:val=""/>
      <w:lvlJc w:val="left"/>
      <w:pPr>
        <w:ind w:left="4361" w:hanging="360"/>
      </w:pPr>
      <w:rPr>
        <w:rFonts w:ascii="Wingdings" w:hAnsi="Wingdings" w:hint="default"/>
      </w:rPr>
    </w:lvl>
    <w:lvl w:ilvl="6" w:tplc="200A0001" w:tentative="1">
      <w:start w:val="1"/>
      <w:numFmt w:val="bullet"/>
      <w:lvlText w:val=""/>
      <w:lvlJc w:val="left"/>
      <w:pPr>
        <w:ind w:left="5081" w:hanging="360"/>
      </w:pPr>
      <w:rPr>
        <w:rFonts w:ascii="Symbol" w:hAnsi="Symbol" w:hint="default"/>
      </w:rPr>
    </w:lvl>
    <w:lvl w:ilvl="7" w:tplc="200A0003" w:tentative="1">
      <w:start w:val="1"/>
      <w:numFmt w:val="bullet"/>
      <w:lvlText w:val="o"/>
      <w:lvlJc w:val="left"/>
      <w:pPr>
        <w:ind w:left="5801" w:hanging="360"/>
      </w:pPr>
      <w:rPr>
        <w:rFonts w:ascii="Courier New" w:hAnsi="Courier New" w:cs="Courier New" w:hint="default"/>
      </w:rPr>
    </w:lvl>
    <w:lvl w:ilvl="8" w:tplc="200A0005" w:tentative="1">
      <w:start w:val="1"/>
      <w:numFmt w:val="bullet"/>
      <w:lvlText w:val=""/>
      <w:lvlJc w:val="left"/>
      <w:pPr>
        <w:ind w:left="6521" w:hanging="360"/>
      </w:pPr>
      <w:rPr>
        <w:rFonts w:ascii="Wingdings" w:hAnsi="Wingdings" w:hint="default"/>
      </w:rPr>
    </w:lvl>
  </w:abstractNum>
  <w:abstractNum w:abstractNumId="9">
    <w:nsid w:val="348B7B69"/>
    <w:multiLevelType w:val="hybridMultilevel"/>
    <w:tmpl w:val="73002ECA"/>
    <w:lvl w:ilvl="0" w:tplc="A4E675BE">
      <w:start w:val="1"/>
      <w:numFmt w:val="decimal"/>
      <w:lvlText w:val="%1."/>
      <w:lvlJc w:val="left"/>
      <w:pPr>
        <w:ind w:left="720" w:hanging="360"/>
      </w:pPr>
      <w:rPr>
        <w:rFonts w:eastAsia="Calibri" w:hint="default"/>
        <w:b w:val="0"/>
        <w:sz w:val="22"/>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nsid w:val="37F26BAA"/>
    <w:multiLevelType w:val="hybridMultilevel"/>
    <w:tmpl w:val="386AAEF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45DB2BA9"/>
    <w:multiLevelType w:val="hybridMultilevel"/>
    <w:tmpl w:val="C1C649A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2">
    <w:nsid w:val="4E9622B8"/>
    <w:multiLevelType w:val="hybridMultilevel"/>
    <w:tmpl w:val="45680AC0"/>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nsid w:val="525E2B96"/>
    <w:multiLevelType w:val="hybridMultilevel"/>
    <w:tmpl w:val="83943BE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nsid w:val="5A2E56B2"/>
    <w:multiLevelType w:val="hybridMultilevel"/>
    <w:tmpl w:val="55D2EC0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5F191C0D"/>
    <w:multiLevelType w:val="hybridMultilevel"/>
    <w:tmpl w:val="5CAEEA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9324464"/>
    <w:multiLevelType w:val="hybridMultilevel"/>
    <w:tmpl w:val="C0BEB1C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7AA275C1"/>
    <w:multiLevelType w:val="hybridMultilevel"/>
    <w:tmpl w:val="73002ECA"/>
    <w:lvl w:ilvl="0" w:tplc="A4E675BE">
      <w:start w:val="1"/>
      <w:numFmt w:val="decimal"/>
      <w:lvlText w:val="%1."/>
      <w:lvlJc w:val="left"/>
      <w:pPr>
        <w:ind w:left="720" w:hanging="360"/>
      </w:pPr>
      <w:rPr>
        <w:rFonts w:eastAsia="Calibri" w:hint="default"/>
        <w:b w:val="0"/>
        <w:sz w:val="22"/>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5"/>
  </w:num>
  <w:num w:numId="2">
    <w:abstractNumId w:val="8"/>
  </w:num>
  <w:num w:numId="3">
    <w:abstractNumId w:val="5"/>
  </w:num>
  <w:num w:numId="4">
    <w:abstractNumId w:val="1"/>
  </w:num>
  <w:num w:numId="5">
    <w:abstractNumId w:val="14"/>
  </w:num>
  <w:num w:numId="6">
    <w:abstractNumId w:val="2"/>
  </w:num>
  <w:num w:numId="7">
    <w:abstractNumId w:val="13"/>
  </w:num>
  <w:num w:numId="8">
    <w:abstractNumId w:val="7"/>
  </w:num>
  <w:num w:numId="9">
    <w:abstractNumId w:val="0"/>
  </w:num>
  <w:num w:numId="10">
    <w:abstractNumId w:val="10"/>
  </w:num>
  <w:num w:numId="11">
    <w:abstractNumId w:val="11"/>
  </w:num>
  <w:num w:numId="12">
    <w:abstractNumId w:val="6"/>
  </w:num>
  <w:num w:numId="13">
    <w:abstractNumId w:val="4"/>
  </w:num>
  <w:num w:numId="14">
    <w:abstractNumId w:val="16"/>
  </w:num>
  <w:num w:numId="15">
    <w:abstractNumId w:val="12"/>
  </w:num>
  <w:num w:numId="16">
    <w:abstractNumId w:val="9"/>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A98"/>
    <w:rsid w:val="000156D9"/>
    <w:rsid w:val="00031BC8"/>
    <w:rsid w:val="00060C7A"/>
    <w:rsid w:val="00073CF1"/>
    <w:rsid w:val="000C0883"/>
    <w:rsid w:val="000F3490"/>
    <w:rsid w:val="001C141C"/>
    <w:rsid w:val="001D52F7"/>
    <w:rsid w:val="00224818"/>
    <w:rsid w:val="0024431B"/>
    <w:rsid w:val="002E6064"/>
    <w:rsid w:val="00331FF0"/>
    <w:rsid w:val="00351320"/>
    <w:rsid w:val="00366E91"/>
    <w:rsid w:val="0037370C"/>
    <w:rsid w:val="00383291"/>
    <w:rsid w:val="003844FD"/>
    <w:rsid w:val="00390FBA"/>
    <w:rsid w:val="003924B1"/>
    <w:rsid w:val="003C3519"/>
    <w:rsid w:val="003F5FCC"/>
    <w:rsid w:val="0040281C"/>
    <w:rsid w:val="0040507E"/>
    <w:rsid w:val="00423B9F"/>
    <w:rsid w:val="004425D6"/>
    <w:rsid w:val="00445F86"/>
    <w:rsid w:val="00477A98"/>
    <w:rsid w:val="004B53B9"/>
    <w:rsid w:val="004B664E"/>
    <w:rsid w:val="004C374F"/>
    <w:rsid w:val="00503755"/>
    <w:rsid w:val="005237C2"/>
    <w:rsid w:val="005970F4"/>
    <w:rsid w:val="005A12E9"/>
    <w:rsid w:val="005E7AE2"/>
    <w:rsid w:val="0063452F"/>
    <w:rsid w:val="0063613A"/>
    <w:rsid w:val="00663E72"/>
    <w:rsid w:val="006B145D"/>
    <w:rsid w:val="006C30DE"/>
    <w:rsid w:val="006D75E1"/>
    <w:rsid w:val="006F488B"/>
    <w:rsid w:val="006F5067"/>
    <w:rsid w:val="006F5254"/>
    <w:rsid w:val="006F7200"/>
    <w:rsid w:val="007003CC"/>
    <w:rsid w:val="007469B1"/>
    <w:rsid w:val="00764830"/>
    <w:rsid w:val="00770434"/>
    <w:rsid w:val="007B545D"/>
    <w:rsid w:val="007F14F3"/>
    <w:rsid w:val="0080715C"/>
    <w:rsid w:val="008145DB"/>
    <w:rsid w:val="00816247"/>
    <w:rsid w:val="00820B03"/>
    <w:rsid w:val="00867752"/>
    <w:rsid w:val="008A1B9D"/>
    <w:rsid w:val="008C2315"/>
    <w:rsid w:val="008C76AA"/>
    <w:rsid w:val="008E36D3"/>
    <w:rsid w:val="00957461"/>
    <w:rsid w:val="009C2DD6"/>
    <w:rsid w:val="00A17677"/>
    <w:rsid w:val="00A260E4"/>
    <w:rsid w:val="00A47B82"/>
    <w:rsid w:val="00A85D48"/>
    <w:rsid w:val="00B05BD0"/>
    <w:rsid w:val="00B10B3C"/>
    <w:rsid w:val="00B566D8"/>
    <w:rsid w:val="00BF2B91"/>
    <w:rsid w:val="00C10C76"/>
    <w:rsid w:val="00C1133A"/>
    <w:rsid w:val="00C22F52"/>
    <w:rsid w:val="00C50BF6"/>
    <w:rsid w:val="00C6668C"/>
    <w:rsid w:val="00C87175"/>
    <w:rsid w:val="00CC33B9"/>
    <w:rsid w:val="00CF43DD"/>
    <w:rsid w:val="00D17555"/>
    <w:rsid w:val="00D25C08"/>
    <w:rsid w:val="00D30451"/>
    <w:rsid w:val="00D41390"/>
    <w:rsid w:val="00D768A6"/>
    <w:rsid w:val="00D85A54"/>
    <w:rsid w:val="00DA17FE"/>
    <w:rsid w:val="00DB4187"/>
    <w:rsid w:val="00DC3749"/>
    <w:rsid w:val="00E24001"/>
    <w:rsid w:val="00E50D7D"/>
    <w:rsid w:val="00E527E2"/>
    <w:rsid w:val="00E84B68"/>
    <w:rsid w:val="00E86CC3"/>
    <w:rsid w:val="00E97928"/>
    <w:rsid w:val="00EA69EF"/>
    <w:rsid w:val="00F05EE2"/>
    <w:rsid w:val="00F208FF"/>
    <w:rsid w:val="00F35123"/>
    <w:rsid w:val="00F4742E"/>
    <w:rsid w:val="00F6233B"/>
    <w:rsid w:val="00F83219"/>
    <w:rsid w:val="00FA4214"/>
  </w:rsids>
  <m:mathPr>
    <m:mathFont m:val="Cambria Math"/>
    <m:brkBin m:val="before"/>
    <m:brkBinSub m:val="--"/>
    <m:smallFrac/>
    <m:dispDef/>
    <m:lMargin m:val="0"/>
    <m:rMargin m:val="0"/>
    <m:defJc m:val="centerGroup"/>
    <m:wrapIndent m:val="1440"/>
    <m:intLim m:val="subSup"/>
    <m:naryLim m:val="undOvr"/>
  </m:mathPr>
  <w:themeFontLang w:val="es-V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EAC460E-AFDF-4197-8E74-C4C9DAB6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A98"/>
    <w:rPr>
      <w:rFonts w:ascii="Times New Roman" w:eastAsia="Times New Roman" w:hAnsi="Times New Roman"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77A98"/>
    <w:pPr>
      <w:tabs>
        <w:tab w:val="center" w:pos="4419"/>
        <w:tab w:val="right" w:pos="8838"/>
      </w:tabs>
    </w:pPr>
    <w:rPr>
      <w:rFonts w:ascii="Calibri" w:eastAsia="Calibri" w:hAnsi="Calibri"/>
      <w:sz w:val="22"/>
      <w:szCs w:val="22"/>
      <w:lang w:val="es-PE" w:eastAsia="en-US"/>
    </w:rPr>
  </w:style>
  <w:style w:type="character" w:customStyle="1" w:styleId="PiedepginaCar">
    <w:name w:val="Pie de página Car"/>
    <w:basedOn w:val="Fuentedeprrafopredeter"/>
    <w:link w:val="Piedepgina"/>
    <w:uiPriority w:val="99"/>
    <w:rsid w:val="00477A98"/>
    <w:rPr>
      <w:rFonts w:ascii="Calibri" w:eastAsia="Calibri" w:hAnsi="Calibri" w:cs="Times New Roman"/>
      <w:sz w:val="22"/>
      <w:szCs w:val="22"/>
      <w:lang w:val="es-PE"/>
    </w:rPr>
  </w:style>
  <w:style w:type="paragraph" w:styleId="Prrafodelista">
    <w:name w:val="List Paragraph"/>
    <w:basedOn w:val="Normal"/>
    <w:uiPriority w:val="34"/>
    <w:qFormat/>
    <w:rsid w:val="00477A98"/>
    <w:pPr>
      <w:spacing w:after="200" w:line="276" w:lineRule="auto"/>
      <w:ind w:left="720"/>
      <w:contextualSpacing/>
    </w:pPr>
    <w:rPr>
      <w:rFonts w:ascii="Calibri" w:eastAsia="Calibri" w:hAnsi="Calibri"/>
      <w:sz w:val="22"/>
      <w:szCs w:val="22"/>
      <w:lang w:val="es-VE" w:eastAsia="en-US"/>
    </w:rPr>
  </w:style>
  <w:style w:type="character" w:styleId="Nmerodepgina">
    <w:name w:val="page number"/>
    <w:rsid w:val="00477A98"/>
  </w:style>
  <w:style w:type="paragraph" w:styleId="Textodeglobo">
    <w:name w:val="Balloon Text"/>
    <w:basedOn w:val="Normal"/>
    <w:link w:val="TextodegloboCar"/>
    <w:uiPriority w:val="99"/>
    <w:semiHidden/>
    <w:unhideWhenUsed/>
    <w:rsid w:val="00477A9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77A98"/>
    <w:rPr>
      <w:rFonts w:ascii="Lucida Grande" w:eastAsia="Times New Roman" w:hAnsi="Lucida Grande" w:cs="Lucida Grande"/>
      <w:sz w:val="18"/>
      <w:szCs w:val="18"/>
      <w:lang w:val="es-ES" w:eastAsia="es-ES"/>
    </w:rPr>
  </w:style>
  <w:style w:type="table" w:styleId="Tablaconcuadrcula">
    <w:name w:val="Table Grid"/>
    <w:basedOn w:val="Tablanormal"/>
    <w:uiPriority w:val="59"/>
    <w:rsid w:val="00F05EE2"/>
    <w:rPr>
      <w:rFonts w:eastAsiaTheme="minorHAnsi"/>
      <w:sz w:val="22"/>
      <w:szCs w:val="22"/>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rsid w:val="000C0883"/>
    <w:pPr>
      <w:tabs>
        <w:tab w:val="center" w:pos="4252"/>
        <w:tab w:val="right" w:pos="8504"/>
      </w:tabs>
    </w:pPr>
    <w:rPr>
      <w:lang w:val="en-US" w:eastAsia="en-US"/>
    </w:rPr>
  </w:style>
  <w:style w:type="character" w:customStyle="1" w:styleId="EncabezadoCar">
    <w:name w:val="Encabezado Car"/>
    <w:basedOn w:val="Fuentedeprrafopredeter"/>
    <w:link w:val="Encabezado"/>
    <w:rsid w:val="000C0883"/>
    <w:rPr>
      <w:rFonts w:ascii="Times New Roman" w:eastAsia="Times New Roman" w:hAnsi="Times New Roman" w:cs="Times New Roman"/>
    </w:rPr>
  </w:style>
  <w:style w:type="paragraph" w:styleId="Listaconvietas">
    <w:name w:val="List Bullet"/>
    <w:basedOn w:val="Normal"/>
    <w:unhideWhenUsed/>
    <w:rsid w:val="000C0883"/>
    <w:pPr>
      <w:numPr>
        <w:numId w:val="9"/>
      </w:numPr>
    </w:pPr>
  </w:style>
  <w:style w:type="paragraph" w:customStyle="1" w:styleId="Cuadrculaclara-nfasis31">
    <w:name w:val="Cuadrícula clara - Énfasis 31"/>
    <w:basedOn w:val="Normal"/>
    <w:uiPriority w:val="34"/>
    <w:qFormat/>
    <w:rsid w:val="00C22F52"/>
    <w:pPr>
      <w:spacing w:after="200" w:line="276" w:lineRule="auto"/>
      <w:ind w:left="720"/>
      <w:contextualSpacing/>
    </w:pPr>
    <w:rPr>
      <w:rFonts w:ascii="Calibri" w:eastAsia="Calibri" w:hAnsi="Calibri"/>
      <w:sz w:val="22"/>
      <w:szCs w:val="22"/>
      <w:lang w:val="es-VE" w:eastAsia="en-US"/>
    </w:rPr>
  </w:style>
  <w:style w:type="paragraph" w:customStyle="1" w:styleId="Default">
    <w:name w:val="Default"/>
    <w:rsid w:val="00423B9F"/>
    <w:pPr>
      <w:autoSpaceDE w:val="0"/>
      <w:autoSpaceDN w:val="0"/>
      <w:adjustRightInd w:val="0"/>
    </w:pPr>
    <w:rPr>
      <w:rFonts w:ascii="Calibri" w:eastAsiaTheme="minorHAnsi" w:hAnsi="Calibri" w:cs="Calibri"/>
      <w:color w:val="000000"/>
      <w:lang w:val="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654543">
      <w:bodyDiv w:val="1"/>
      <w:marLeft w:val="0"/>
      <w:marRight w:val="0"/>
      <w:marTop w:val="0"/>
      <w:marBottom w:val="0"/>
      <w:divBdr>
        <w:top w:val="none" w:sz="0" w:space="0" w:color="auto"/>
        <w:left w:val="none" w:sz="0" w:space="0" w:color="auto"/>
        <w:bottom w:val="none" w:sz="0" w:space="0" w:color="auto"/>
        <w:right w:val="none" w:sz="0" w:space="0" w:color="auto"/>
      </w:divBdr>
    </w:div>
    <w:div w:id="765150570">
      <w:bodyDiv w:val="1"/>
      <w:marLeft w:val="0"/>
      <w:marRight w:val="0"/>
      <w:marTop w:val="0"/>
      <w:marBottom w:val="0"/>
      <w:divBdr>
        <w:top w:val="none" w:sz="0" w:space="0" w:color="auto"/>
        <w:left w:val="none" w:sz="0" w:space="0" w:color="auto"/>
        <w:bottom w:val="none" w:sz="0" w:space="0" w:color="auto"/>
        <w:right w:val="none" w:sz="0" w:space="0" w:color="auto"/>
      </w:divBdr>
    </w:div>
    <w:div w:id="20161810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49713-6F97-4C4D-95CF-7A636E43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1902</Words>
  <Characters>10467</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CrecePymes</Company>
  <LinksUpToDate>false</LinksUpToDate>
  <CharactersWithSpaces>12345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Alejandro Sucre</dc:creator>
  <cp:lastModifiedBy>Edith</cp:lastModifiedBy>
  <cp:revision>2</cp:revision>
  <cp:lastPrinted>2017-03-13T14:22:00Z</cp:lastPrinted>
  <dcterms:created xsi:type="dcterms:W3CDTF">2019-04-01T03:47:00Z</dcterms:created>
  <dcterms:modified xsi:type="dcterms:W3CDTF">2019-04-01T03:47:00Z</dcterms:modified>
</cp:coreProperties>
</file>